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0B0D" w14:textId="171F8D9D" w:rsidR="00E50B7F" w:rsidRPr="00BC3FE9" w:rsidRDefault="00E6720E" w:rsidP="005C6759">
      <w:pPr>
        <w:autoSpaceDE w:val="0"/>
        <w:autoSpaceDN w:val="0"/>
        <w:adjustRightInd w:val="0"/>
        <w:spacing w:after="0" w:line="240" w:lineRule="auto"/>
        <w:jc w:val="center"/>
        <w:rPr>
          <w:rFonts w:ascii="Times New Roman" w:hAnsi="Times New Roman" w:cs="Times New Roman"/>
          <w:b/>
          <w:sz w:val="24"/>
          <w:szCs w:val="20"/>
        </w:rPr>
      </w:pPr>
      <w:r w:rsidRPr="00BC3FE9">
        <w:rPr>
          <w:rFonts w:ascii="Times New Roman" w:hAnsi="Times New Roman" w:cs="Times New Roman"/>
          <w:b/>
          <w:sz w:val="24"/>
          <w:szCs w:val="20"/>
        </w:rPr>
        <w:t xml:space="preserve">KEARIFAN LOKAL “SEGELURUNG” SEBAGAI INOVASI UNTUK MENDUKUNG KEBIJAKAN KETAHANAN PANGAN </w:t>
      </w:r>
      <w:r w:rsidR="0067051A" w:rsidRPr="00BC3FE9">
        <w:rPr>
          <w:rFonts w:ascii="Times New Roman" w:hAnsi="Times New Roman" w:cs="Times New Roman"/>
          <w:b/>
          <w:sz w:val="24"/>
          <w:szCs w:val="20"/>
        </w:rPr>
        <w:t>DI PEDESAAN</w:t>
      </w:r>
    </w:p>
    <w:p w14:paraId="45B0C5D8" w14:textId="77777777" w:rsidR="0067051A" w:rsidRPr="00BC3FE9" w:rsidRDefault="0067051A" w:rsidP="005C6759">
      <w:pPr>
        <w:autoSpaceDE w:val="0"/>
        <w:autoSpaceDN w:val="0"/>
        <w:adjustRightInd w:val="0"/>
        <w:spacing w:after="0" w:line="240" w:lineRule="auto"/>
        <w:jc w:val="center"/>
        <w:rPr>
          <w:rFonts w:ascii="Times New Roman" w:hAnsi="Times New Roman" w:cs="Times New Roman"/>
          <w:b/>
          <w:sz w:val="24"/>
          <w:szCs w:val="20"/>
        </w:rPr>
      </w:pPr>
    </w:p>
    <w:p w14:paraId="56A4AC3E" w14:textId="493B4594" w:rsidR="00E50B7F" w:rsidRPr="00BC3FE9" w:rsidRDefault="00E6720E" w:rsidP="005C6759">
      <w:pPr>
        <w:autoSpaceDE w:val="0"/>
        <w:autoSpaceDN w:val="0"/>
        <w:adjustRightInd w:val="0"/>
        <w:spacing w:after="0" w:line="240" w:lineRule="auto"/>
        <w:jc w:val="center"/>
        <w:rPr>
          <w:rFonts w:ascii="Times New Roman" w:hAnsi="Times New Roman" w:cs="Times New Roman"/>
          <w:b/>
          <w:bCs/>
          <w:sz w:val="24"/>
          <w:szCs w:val="24"/>
        </w:rPr>
      </w:pPr>
      <w:r w:rsidRPr="00BC3FE9">
        <w:rPr>
          <w:rFonts w:ascii="Times New Roman" w:hAnsi="Times New Roman" w:cs="Times New Roman"/>
          <w:b/>
          <w:bCs/>
          <w:sz w:val="24"/>
          <w:szCs w:val="24"/>
        </w:rPr>
        <w:t>LOCAL WISDOM OF “SEGELURUNG” AS AN INNOVATION TO SUPPORT FOOD SECURITY POLICIES IN RURAL AREAS</w:t>
      </w:r>
    </w:p>
    <w:p w14:paraId="1259C2CD" w14:textId="77777777" w:rsidR="00335DC8" w:rsidRDefault="00335DC8" w:rsidP="005C6759">
      <w:pPr>
        <w:spacing w:after="0" w:line="240" w:lineRule="auto"/>
        <w:jc w:val="center"/>
        <w:rPr>
          <w:rFonts w:ascii="Times New Roman" w:hAnsi="Times New Roman" w:cs="Times New Roman"/>
          <w:b/>
          <w:bCs/>
          <w:sz w:val="24"/>
          <w:szCs w:val="24"/>
        </w:rPr>
      </w:pPr>
    </w:p>
    <w:p w14:paraId="2AB206C0" w14:textId="224D80FA" w:rsidR="005F0072" w:rsidRPr="00BC3FE9" w:rsidRDefault="00190950" w:rsidP="005C6759">
      <w:pPr>
        <w:spacing w:after="0" w:line="240" w:lineRule="auto"/>
        <w:jc w:val="center"/>
        <w:rPr>
          <w:rFonts w:ascii="Times New Roman" w:hAnsi="Times New Roman" w:cs="Times New Roman"/>
          <w:b/>
          <w:bCs/>
          <w:sz w:val="24"/>
          <w:szCs w:val="24"/>
          <w:vertAlign w:val="superscript"/>
        </w:rPr>
      </w:pPr>
      <w:r w:rsidRPr="00BC3FE9">
        <w:rPr>
          <w:rFonts w:ascii="Times New Roman" w:hAnsi="Times New Roman" w:cs="Times New Roman"/>
          <w:b/>
          <w:bCs/>
          <w:sz w:val="24"/>
          <w:szCs w:val="24"/>
        </w:rPr>
        <w:t>Bachtari Alam Hidayat</w:t>
      </w:r>
      <w:r w:rsidR="0007726B" w:rsidRPr="00BC3FE9">
        <w:rPr>
          <w:rFonts w:ascii="Times New Roman" w:hAnsi="Times New Roman" w:cs="Times New Roman"/>
          <w:b/>
          <w:bCs/>
          <w:sz w:val="24"/>
          <w:szCs w:val="24"/>
          <w:vertAlign w:val="superscript"/>
        </w:rPr>
        <w:t>1</w:t>
      </w:r>
      <w:r w:rsidR="0007726B" w:rsidRPr="00BC3FE9">
        <w:rPr>
          <w:rFonts w:ascii="Times New Roman" w:hAnsi="Times New Roman" w:cs="Times New Roman"/>
          <w:b/>
          <w:bCs/>
          <w:sz w:val="24"/>
          <w:szCs w:val="24"/>
        </w:rPr>
        <w:t xml:space="preserve">, </w:t>
      </w:r>
      <w:r w:rsidRPr="00BC3FE9">
        <w:rPr>
          <w:rFonts w:ascii="Times New Roman" w:hAnsi="Times New Roman" w:cs="Times New Roman"/>
          <w:b/>
          <w:bCs/>
          <w:sz w:val="24"/>
          <w:szCs w:val="24"/>
        </w:rPr>
        <w:t>Agus Faturohim</w:t>
      </w:r>
      <w:r w:rsidR="0007726B" w:rsidRPr="00BC3FE9">
        <w:rPr>
          <w:rFonts w:ascii="Times New Roman" w:hAnsi="Times New Roman" w:cs="Times New Roman"/>
          <w:b/>
          <w:bCs/>
          <w:sz w:val="24"/>
          <w:szCs w:val="24"/>
          <w:vertAlign w:val="superscript"/>
        </w:rPr>
        <w:t>2</w:t>
      </w:r>
      <w:r w:rsidR="00645ED7" w:rsidRPr="00BC3FE9">
        <w:rPr>
          <w:rFonts w:ascii="Times New Roman" w:hAnsi="Times New Roman" w:cs="Times New Roman"/>
          <w:b/>
          <w:bCs/>
          <w:sz w:val="24"/>
          <w:szCs w:val="24"/>
        </w:rPr>
        <w:t xml:space="preserve">, </w:t>
      </w:r>
      <w:r w:rsidRPr="00BC3FE9">
        <w:rPr>
          <w:rFonts w:ascii="Times New Roman" w:hAnsi="Times New Roman" w:cs="Times New Roman"/>
          <w:b/>
          <w:bCs/>
          <w:sz w:val="24"/>
          <w:szCs w:val="24"/>
        </w:rPr>
        <w:t>Alexander Akbar</w:t>
      </w:r>
      <w:r w:rsidR="0007726B" w:rsidRPr="00BC3FE9">
        <w:rPr>
          <w:rFonts w:ascii="Times New Roman" w:hAnsi="Times New Roman" w:cs="Times New Roman"/>
          <w:b/>
          <w:bCs/>
          <w:sz w:val="24"/>
          <w:szCs w:val="24"/>
          <w:vertAlign w:val="superscript"/>
        </w:rPr>
        <w:t>3</w:t>
      </w:r>
    </w:p>
    <w:p w14:paraId="0AB9CEF1" w14:textId="77777777" w:rsidR="00CB0F67" w:rsidRPr="00BC3FE9" w:rsidRDefault="00CB0F67" w:rsidP="005C6759">
      <w:pPr>
        <w:spacing w:after="0" w:line="240" w:lineRule="auto"/>
        <w:jc w:val="center"/>
        <w:rPr>
          <w:rFonts w:ascii="Times New Roman" w:hAnsi="Times New Roman" w:cs="Times New Roman"/>
          <w:b/>
          <w:sz w:val="28"/>
          <w:szCs w:val="28"/>
          <w:vertAlign w:val="superscript"/>
        </w:rPr>
      </w:pPr>
    </w:p>
    <w:p w14:paraId="1544A934" w14:textId="4F614D72" w:rsidR="003739E9" w:rsidRPr="00BC3FE9" w:rsidRDefault="00F91045" w:rsidP="005C6759">
      <w:pPr>
        <w:autoSpaceDE w:val="0"/>
        <w:autoSpaceDN w:val="0"/>
        <w:adjustRightInd w:val="0"/>
        <w:spacing w:after="0" w:line="240" w:lineRule="auto"/>
        <w:ind w:left="180" w:hanging="180"/>
        <w:rPr>
          <w:rFonts w:ascii="Times New Roman" w:hAnsi="Times New Roman" w:cs="Times New Roman"/>
          <w:i/>
          <w:iCs/>
          <w:sz w:val="20"/>
          <w:szCs w:val="20"/>
        </w:rPr>
      </w:pPr>
      <w:r w:rsidRPr="00BC3FE9">
        <w:rPr>
          <w:rFonts w:ascii="Times New Roman" w:hAnsi="Times New Roman" w:cs="Times New Roman"/>
          <w:i/>
          <w:iCs/>
          <w:sz w:val="20"/>
          <w:szCs w:val="20"/>
          <w:vertAlign w:val="superscript"/>
        </w:rPr>
        <w:t xml:space="preserve">   </w:t>
      </w:r>
      <w:r w:rsidR="005F0072" w:rsidRPr="00BC3FE9">
        <w:rPr>
          <w:rFonts w:ascii="Times New Roman" w:hAnsi="Times New Roman" w:cs="Times New Roman"/>
          <w:i/>
          <w:iCs/>
          <w:sz w:val="20"/>
          <w:szCs w:val="20"/>
          <w:vertAlign w:val="superscript"/>
        </w:rPr>
        <w:t>1</w:t>
      </w:r>
      <w:r w:rsidR="00CB0F67" w:rsidRPr="00BC3FE9">
        <w:rPr>
          <w:rFonts w:ascii="Times New Roman" w:hAnsi="Times New Roman" w:cs="Times New Roman"/>
          <w:sz w:val="20"/>
          <w:szCs w:val="20"/>
          <w:vertAlign w:val="superscript"/>
        </w:rPr>
        <w:t xml:space="preserve"> </w:t>
      </w:r>
      <w:r w:rsidR="000A4434" w:rsidRPr="00BC3FE9">
        <w:rPr>
          <w:rFonts w:ascii="Times New Roman" w:hAnsi="Times New Roman" w:cs="Times New Roman"/>
          <w:i/>
          <w:iCs/>
          <w:sz w:val="20"/>
          <w:szCs w:val="20"/>
        </w:rPr>
        <w:t xml:space="preserve">Badan Perencanaan Pembangunan Daerah, Penelitian dan Pengembangan Kota Palembang, dan Magister Ilmu Pemerintahan </w:t>
      </w:r>
      <w:r w:rsidR="00A64440" w:rsidRPr="00BC3FE9">
        <w:rPr>
          <w:rFonts w:ascii="Times New Roman" w:hAnsi="Times New Roman" w:cs="Times New Roman"/>
          <w:i/>
          <w:iCs/>
          <w:sz w:val="20"/>
          <w:szCs w:val="20"/>
        </w:rPr>
        <w:t>Universitas Tamansiswa Palembang</w:t>
      </w:r>
      <w:r w:rsidR="003739E9" w:rsidRPr="00BC3FE9">
        <w:rPr>
          <w:rFonts w:ascii="Times New Roman" w:hAnsi="Times New Roman" w:cs="Times New Roman"/>
          <w:i/>
          <w:iCs/>
          <w:sz w:val="20"/>
          <w:szCs w:val="20"/>
        </w:rPr>
        <w:t xml:space="preserve"> </w:t>
      </w:r>
    </w:p>
    <w:p w14:paraId="061BE578" w14:textId="5677973B" w:rsidR="00C557F6" w:rsidRPr="00BC3FE9" w:rsidRDefault="0007726B" w:rsidP="005C6759">
      <w:pPr>
        <w:autoSpaceDE w:val="0"/>
        <w:autoSpaceDN w:val="0"/>
        <w:adjustRightInd w:val="0"/>
        <w:spacing w:after="0" w:line="240" w:lineRule="auto"/>
        <w:rPr>
          <w:rFonts w:ascii="Times New Roman" w:hAnsi="Times New Roman" w:cs="Times New Roman"/>
          <w:i/>
          <w:iCs/>
          <w:sz w:val="20"/>
          <w:szCs w:val="20"/>
        </w:rPr>
      </w:pPr>
      <w:r w:rsidRPr="00BC3FE9">
        <w:rPr>
          <w:rFonts w:ascii="Times New Roman" w:hAnsi="Times New Roman" w:cs="Times New Roman"/>
          <w:i/>
          <w:iCs/>
          <w:sz w:val="20"/>
          <w:szCs w:val="20"/>
          <w:vertAlign w:val="superscript"/>
        </w:rPr>
        <w:t>2</w:t>
      </w:r>
      <w:r w:rsidR="00190950" w:rsidRPr="00BC3FE9">
        <w:rPr>
          <w:rFonts w:ascii="Times New Roman" w:hAnsi="Times New Roman" w:cs="Times New Roman"/>
          <w:i/>
          <w:iCs/>
          <w:sz w:val="20"/>
          <w:szCs w:val="20"/>
          <w:vertAlign w:val="superscript"/>
        </w:rPr>
        <w:t xml:space="preserve"> 3</w:t>
      </w:r>
      <w:r w:rsidR="00324E7A" w:rsidRPr="00BC3FE9">
        <w:rPr>
          <w:rFonts w:ascii="Times New Roman" w:hAnsi="Times New Roman" w:cs="Times New Roman"/>
          <w:i/>
          <w:iCs/>
          <w:sz w:val="20"/>
          <w:szCs w:val="20"/>
          <w:vertAlign w:val="superscript"/>
        </w:rPr>
        <w:t xml:space="preserve"> </w:t>
      </w:r>
      <w:r w:rsidR="000A4434" w:rsidRPr="00BC3FE9">
        <w:rPr>
          <w:rFonts w:ascii="Times New Roman" w:hAnsi="Times New Roman" w:cs="Times New Roman"/>
          <w:i/>
          <w:iCs/>
          <w:sz w:val="20"/>
          <w:szCs w:val="20"/>
        </w:rPr>
        <w:t>Badan Perencanaan Pembangunan Daerah, Penelitian dan Pengembangan Kota Palembang</w:t>
      </w:r>
    </w:p>
    <w:p w14:paraId="416C0C9E" w14:textId="09D54CF3" w:rsidR="00FE1393" w:rsidRPr="00BC3FE9" w:rsidRDefault="00FE1393" w:rsidP="005C6759">
      <w:pPr>
        <w:autoSpaceDE w:val="0"/>
        <w:autoSpaceDN w:val="0"/>
        <w:adjustRightInd w:val="0"/>
        <w:spacing w:after="0" w:line="240" w:lineRule="auto"/>
        <w:jc w:val="center"/>
        <w:rPr>
          <w:rFonts w:ascii="Times New Roman" w:hAnsi="Times New Roman" w:cs="Times New Roman"/>
          <w:sz w:val="24"/>
          <w:szCs w:val="24"/>
        </w:rPr>
      </w:pPr>
    </w:p>
    <w:p w14:paraId="34C24716" w14:textId="1D1BBE1A" w:rsidR="005C6759" w:rsidRPr="00BC3FE9" w:rsidRDefault="005C6759" w:rsidP="005C675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BC3FE9">
        <w:rPr>
          <w:rFonts w:ascii="Times New Roman" w:eastAsia="Times New Roman" w:hAnsi="Times New Roman" w:cs="Times New Roman"/>
          <w:b/>
          <w:bCs/>
          <w:sz w:val="24"/>
          <w:szCs w:val="24"/>
        </w:rPr>
        <w:t xml:space="preserve">ABSTRAK </w:t>
      </w:r>
    </w:p>
    <w:p w14:paraId="63278D44" w14:textId="09D2775E" w:rsidR="0041259D" w:rsidRPr="00BC3FE9" w:rsidRDefault="0041259D" w:rsidP="0041259D">
      <w:pPr>
        <w:spacing w:before="100" w:beforeAutospacing="1" w:after="100" w:afterAutospacing="1" w:line="240" w:lineRule="auto"/>
        <w:jc w:val="both"/>
        <w:rPr>
          <w:rFonts w:ascii="Times New Roman" w:eastAsia="Times New Roman" w:hAnsi="Times New Roman" w:cs="Times New Roman"/>
          <w:sz w:val="20"/>
          <w:szCs w:val="20"/>
        </w:rPr>
      </w:pPr>
      <w:r w:rsidRPr="00BC3FE9">
        <w:rPr>
          <w:rFonts w:ascii="Times New Roman" w:eastAsia="Times New Roman" w:hAnsi="Times New Roman" w:cs="Times New Roman"/>
          <w:sz w:val="20"/>
          <w:szCs w:val="20"/>
        </w:rPr>
        <w:t xml:space="preserve">Provinsi Sumatera Selatan memiliki potensi sumber daya perikanan air tawar yang melimpah. Angka konsumsi ikan Provinsi Sumatera Selatan tahun 2022 yaitu 46,04 kilogram per kapita per tahun masih kesulitan dalam mengejar target konsumsi ikan secara nasional 56,48 kilogram per kapita per tahun. </w:t>
      </w:r>
      <w:r w:rsidR="004F6BDE" w:rsidRPr="00BC3FE9">
        <w:rPr>
          <w:rFonts w:ascii="Times New Roman" w:eastAsia="Times New Roman" w:hAnsi="Times New Roman" w:cs="Times New Roman"/>
          <w:sz w:val="20"/>
          <w:szCs w:val="20"/>
        </w:rPr>
        <w:t>Makanan olahan terbuat dari ikan yang dapat diawetkan menjadi cara meningkatkan angka konsumsi ikan.</w:t>
      </w:r>
      <w:r w:rsidRPr="00BC3FE9">
        <w:rPr>
          <w:rFonts w:ascii="Times New Roman" w:eastAsia="Times New Roman" w:hAnsi="Times New Roman" w:cs="Times New Roman"/>
          <w:sz w:val="20"/>
          <w:szCs w:val="20"/>
        </w:rPr>
        <w:t xml:space="preserve"> Salah satu cara tradisional pengawetan ikan di pedesan dilakukan dengan cara pengasapan. Metode pengasapan ikan telah menjadi bagian dari kearifan lokal yang diwariskan secara turun-temurun dalam banyak masyarakat pedesaan</w:t>
      </w:r>
      <w:r w:rsidR="00020E99" w:rsidRPr="00BC3FE9">
        <w:rPr>
          <w:rFonts w:ascii="Times New Roman" w:eastAsia="Times New Roman" w:hAnsi="Times New Roman" w:cs="Times New Roman"/>
          <w:sz w:val="20"/>
          <w:szCs w:val="20"/>
        </w:rPr>
        <w:t xml:space="preserve">. Penelitian ini bertujuan mendeskripsikan </w:t>
      </w:r>
      <w:r w:rsidRPr="00BC3FE9">
        <w:rPr>
          <w:rFonts w:ascii="Times New Roman" w:eastAsia="Times New Roman" w:hAnsi="Times New Roman" w:cs="Times New Roman"/>
          <w:sz w:val="20"/>
          <w:szCs w:val="20"/>
        </w:rPr>
        <w:t>segelurung sebagai produk kearifan lokal dapat menjadi sebuah inovasi untuk mendukung kebijakan ketahanan pangan dan meningkatkan kesejahteraan masyarakat.</w:t>
      </w:r>
      <w:r w:rsidR="00020E99" w:rsidRPr="00BC3FE9">
        <w:rPr>
          <w:rFonts w:ascii="Times New Roman" w:eastAsia="Times New Roman" w:hAnsi="Times New Roman" w:cs="Times New Roman"/>
          <w:sz w:val="20"/>
          <w:szCs w:val="20"/>
        </w:rPr>
        <w:t xml:space="preserve"> Penelitian ini menggunakan tiga pendekatan, yaitu studi literatur, survei, dan wawancara mendalam. Data dikumpulkan melalui wawancara mendalam kepada masyarakat Kabupaten PALI, Sumatera Selatan</w:t>
      </w:r>
      <w:r w:rsidR="00BB58EC" w:rsidRPr="00BC3FE9">
        <w:rPr>
          <w:rFonts w:ascii="Times New Roman" w:eastAsia="Times New Roman" w:hAnsi="Times New Roman" w:cs="Times New Roman"/>
          <w:sz w:val="20"/>
          <w:szCs w:val="20"/>
        </w:rPr>
        <w:t>.</w:t>
      </w:r>
      <w:r w:rsidR="00020E99" w:rsidRPr="00BC3FE9">
        <w:rPr>
          <w:rFonts w:ascii="Times New Roman" w:eastAsia="Times New Roman" w:hAnsi="Times New Roman" w:cs="Times New Roman"/>
          <w:sz w:val="20"/>
          <w:szCs w:val="20"/>
        </w:rPr>
        <w:t xml:space="preserve"> </w:t>
      </w:r>
      <w:r w:rsidRPr="00BC3FE9">
        <w:rPr>
          <w:rFonts w:ascii="Times New Roman" w:eastAsia="Times New Roman" w:hAnsi="Times New Roman" w:cs="Times New Roman"/>
          <w:sz w:val="20"/>
          <w:szCs w:val="20"/>
        </w:rPr>
        <w:t xml:space="preserve">Data dianalisis dengan pendekatan kualitatif dan disajikan secara deskriptif. </w:t>
      </w:r>
      <w:r w:rsidR="00020E99" w:rsidRPr="00BC3FE9">
        <w:rPr>
          <w:rFonts w:ascii="Times New Roman" w:eastAsia="Times New Roman" w:hAnsi="Times New Roman" w:cs="Times New Roman"/>
          <w:sz w:val="20"/>
          <w:szCs w:val="20"/>
        </w:rPr>
        <w:t xml:space="preserve">Segelurung adalah suatu metode tradisional dalam pengawetan ikan air tawar dengan cara memberikan bumbu </w:t>
      </w:r>
      <w:r w:rsidR="004D7EE5" w:rsidRPr="00BC3FE9">
        <w:rPr>
          <w:rFonts w:ascii="Times New Roman" w:eastAsia="Times New Roman" w:hAnsi="Times New Roman" w:cs="Times New Roman"/>
          <w:sz w:val="20"/>
          <w:szCs w:val="20"/>
        </w:rPr>
        <w:t>rempah-rempah sebelum</w:t>
      </w:r>
      <w:r w:rsidR="00020E99" w:rsidRPr="00BC3FE9">
        <w:rPr>
          <w:rFonts w:ascii="Times New Roman" w:eastAsia="Times New Roman" w:hAnsi="Times New Roman" w:cs="Times New Roman"/>
          <w:sz w:val="20"/>
          <w:szCs w:val="20"/>
        </w:rPr>
        <w:t xml:space="preserve"> proses pengasapan</w:t>
      </w:r>
      <w:r w:rsidR="004D7EE5" w:rsidRPr="00BC3FE9">
        <w:rPr>
          <w:rFonts w:ascii="Times New Roman" w:eastAsia="Times New Roman" w:hAnsi="Times New Roman" w:cs="Times New Roman"/>
          <w:sz w:val="20"/>
          <w:szCs w:val="20"/>
        </w:rPr>
        <w:t xml:space="preserve"> </w:t>
      </w:r>
      <w:r w:rsidR="00020E99" w:rsidRPr="00BC3FE9">
        <w:rPr>
          <w:rFonts w:ascii="Times New Roman" w:eastAsia="Times New Roman" w:hAnsi="Times New Roman" w:cs="Times New Roman"/>
          <w:sz w:val="20"/>
          <w:szCs w:val="20"/>
        </w:rPr>
        <w:t xml:space="preserve">untuk memberikan rasa pedas gurih dan aroma khas. Segelurung digunakan untuk memperpanjang umur simpan ikan air tawar. </w:t>
      </w:r>
      <w:r w:rsidRPr="00BC3FE9">
        <w:rPr>
          <w:rFonts w:ascii="Times New Roman" w:eastAsia="Times New Roman" w:hAnsi="Times New Roman" w:cs="Times New Roman"/>
          <w:sz w:val="20"/>
          <w:szCs w:val="20"/>
        </w:rPr>
        <w:t>Integrasi kearifan lokal segelurung dengan kebijakan ketahanan pangan, kesejahteraan masyarakat, dan faktor lainnya memiliki peluang yang besar. Dengan mengoptimalkan potensi segelurung sebagai inovasi dalam pengolahan produk perikanan, dapat terjadi sinergi antara kebijakan pemerintah, pelestarian budaya, peningkatan kesejahteraan masyarakat, dan pengembangan sektor perikanan lokal. Kearifan lokal segelurung dapat menjadi bagian dari kebijakan ketahanan pangan, terutama dalam upaya meningkatkan ketersediaan dan aksesibilitas pangan di daerah pedesaan.</w:t>
      </w:r>
    </w:p>
    <w:p w14:paraId="00A80A86" w14:textId="61980839" w:rsidR="00E61D85" w:rsidRPr="00BC3FE9" w:rsidRDefault="005C6759" w:rsidP="0041259D">
      <w:pPr>
        <w:spacing w:before="100" w:beforeAutospacing="1" w:after="100" w:afterAutospacing="1" w:line="240" w:lineRule="auto"/>
        <w:jc w:val="both"/>
        <w:rPr>
          <w:rFonts w:ascii="Times New Roman" w:eastAsia="Times New Roman" w:hAnsi="Times New Roman" w:cs="Times New Roman"/>
          <w:sz w:val="20"/>
          <w:szCs w:val="20"/>
        </w:rPr>
      </w:pPr>
      <w:r w:rsidRPr="00BC3FE9">
        <w:rPr>
          <w:rFonts w:ascii="Times New Roman" w:eastAsia="Times New Roman" w:hAnsi="Times New Roman" w:cs="Times New Roman"/>
          <w:b/>
          <w:bCs/>
          <w:sz w:val="24"/>
          <w:szCs w:val="24"/>
        </w:rPr>
        <w:t>KATA KUNCI:</w:t>
      </w:r>
      <w:r w:rsidRPr="00BC3FE9">
        <w:rPr>
          <w:rFonts w:ascii="Times New Roman" w:eastAsia="Times New Roman" w:hAnsi="Times New Roman" w:cs="Times New Roman"/>
          <w:sz w:val="24"/>
          <w:szCs w:val="24"/>
        </w:rPr>
        <w:t xml:space="preserve"> </w:t>
      </w:r>
      <w:r w:rsidR="00E61D85" w:rsidRPr="00BC3FE9">
        <w:rPr>
          <w:rFonts w:ascii="Times New Roman" w:eastAsia="Times New Roman" w:hAnsi="Times New Roman" w:cs="Times New Roman"/>
          <w:sz w:val="20"/>
          <w:szCs w:val="20"/>
        </w:rPr>
        <w:t>Segelurung</w:t>
      </w:r>
      <w:r w:rsidR="00871E2C">
        <w:rPr>
          <w:rFonts w:ascii="Times New Roman" w:eastAsia="Times New Roman" w:hAnsi="Times New Roman" w:cs="Times New Roman"/>
          <w:sz w:val="20"/>
          <w:szCs w:val="20"/>
          <w:lang w:val="en-US"/>
        </w:rPr>
        <w:t>;</w:t>
      </w:r>
      <w:r w:rsidR="00E61D85" w:rsidRPr="00BC3FE9">
        <w:rPr>
          <w:rFonts w:ascii="Times New Roman" w:eastAsia="Times New Roman" w:hAnsi="Times New Roman" w:cs="Times New Roman"/>
          <w:sz w:val="20"/>
          <w:szCs w:val="20"/>
        </w:rPr>
        <w:t xml:space="preserve"> </w:t>
      </w:r>
      <w:r w:rsidR="00871E2C" w:rsidRPr="00BC3FE9">
        <w:rPr>
          <w:rFonts w:ascii="Times New Roman" w:eastAsia="Times New Roman" w:hAnsi="Times New Roman" w:cs="Times New Roman"/>
          <w:sz w:val="20"/>
          <w:szCs w:val="20"/>
        </w:rPr>
        <w:t>ikan</w:t>
      </w:r>
      <w:r w:rsidR="00871E2C">
        <w:rPr>
          <w:rFonts w:ascii="Times New Roman" w:eastAsia="Times New Roman" w:hAnsi="Times New Roman" w:cs="Times New Roman"/>
          <w:sz w:val="20"/>
          <w:szCs w:val="20"/>
          <w:lang w:val="en-US"/>
        </w:rPr>
        <w:t>;</w:t>
      </w:r>
      <w:r w:rsidR="00871E2C" w:rsidRPr="00BC3FE9">
        <w:rPr>
          <w:rFonts w:ascii="Times New Roman" w:eastAsia="Times New Roman" w:hAnsi="Times New Roman" w:cs="Times New Roman"/>
          <w:sz w:val="24"/>
          <w:szCs w:val="24"/>
        </w:rPr>
        <w:t xml:space="preserve"> </w:t>
      </w:r>
      <w:r w:rsidR="00871E2C" w:rsidRPr="00BC3FE9">
        <w:rPr>
          <w:rFonts w:ascii="Times New Roman" w:eastAsia="Times New Roman" w:hAnsi="Times New Roman" w:cs="Times New Roman"/>
          <w:sz w:val="20"/>
          <w:szCs w:val="20"/>
        </w:rPr>
        <w:t>inovasi</w:t>
      </w:r>
      <w:r w:rsidR="00871E2C">
        <w:rPr>
          <w:rFonts w:ascii="Times New Roman" w:eastAsia="Times New Roman" w:hAnsi="Times New Roman" w:cs="Times New Roman"/>
          <w:sz w:val="20"/>
          <w:szCs w:val="20"/>
          <w:lang w:val="en-US"/>
        </w:rPr>
        <w:t>;</w:t>
      </w:r>
      <w:r w:rsidR="00871E2C" w:rsidRPr="00BC3FE9">
        <w:rPr>
          <w:rFonts w:ascii="Times New Roman" w:eastAsia="Times New Roman" w:hAnsi="Times New Roman" w:cs="Times New Roman"/>
          <w:sz w:val="20"/>
          <w:szCs w:val="20"/>
        </w:rPr>
        <w:t xml:space="preserve"> kearifan lokal</w:t>
      </w:r>
      <w:r w:rsidR="00871E2C">
        <w:rPr>
          <w:rFonts w:ascii="Times New Roman" w:eastAsia="Times New Roman" w:hAnsi="Times New Roman" w:cs="Times New Roman"/>
          <w:sz w:val="20"/>
          <w:szCs w:val="20"/>
          <w:lang w:val="en-US"/>
        </w:rPr>
        <w:t>;</w:t>
      </w:r>
      <w:r w:rsidR="00871E2C" w:rsidRPr="00BC3FE9">
        <w:rPr>
          <w:rFonts w:ascii="Times New Roman" w:eastAsia="Times New Roman" w:hAnsi="Times New Roman" w:cs="Times New Roman"/>
          <w:sz w:val="20"/>
          <w:szCs w:val="20"/>
        </w:rPr>
        <w:t xml:space="preserve"> masyarakat pedesaan </w:t>
      </w:r>
    </w:p>
    <w:p w14:paraId="5A69677B" w14:textId="680771DD" w:rsidR="005C6759" w:rsidRPr="00BC3FE9" w:rsidRDefault="005C6759" w:rsidP="00E61D85">
      <w:pPr>
        <w:spacing w:before="100" w:beforeAutospacing="1" w:after="100" w:afterAutospacing="1" w:line="240" w:lineRule="auto"/>
        <w:ind w:left="1800" w:hanging="1800"/>
        <w:jc w:val="both"/>
        <w:rPr>
          <w:rFonts w:ascii="Times New Roman" w:eastAsia="Times New Roman" w:hAnsi="Times New Roman" w:cs="Times New Roman"/>
          <w:b/>
          <w:bCs/>
          <w:sz w:val="27"/>
          <w:szCs w:val="27"/>
        </w:rPr>
      </w:pPr>
      <w:r w:rsidRPr="00BC3FE9">
        <w:rPr>
          <w:rFonts w:ascii="Times New Roman" w:eastAsia="Times New Roman" w:hAnsi="Times New Roman" w:cs="Times New Roman"/>
          <w:b/>
          <w:bCs/>
          <w:sz w:val="24"/>
          <w:szCs w:val="24"/>
        </w:rPr>
        <w:t>ABSTRACT</w:t>
      </w:r>
      <w:r w:rsidRPr="00BC3FE9">
        <w:rPr>
          <w:rFonts w:ascii="Times New Roman" w:eastAsia="Times New Roman" w:hAnsi="Times New Roman" w:cs="Times New Roman"/>
          <w:b/>
          <w:bCs/>
          <w:sz w:val="27"/>
          <w:szCs w:val="27"/>
        </w:rPr>
        <w:t xml:space="preserve"> </w:t>
      </w:r>
    </w:p>
    <w:p w14:paraId="40048315" w14:textId="4B7531A6" w:rsidR="004D7EE5" w:rsidRPr="00BC3FE9" w:rsidRDefault="004D7EE5" w:rsidP="004D7EE5">
      <w:pPr>
        <w:spacing w:before="100" w:beforeAutospacing="1" w:after="100" w:afterAutospacing="1" w:line="240" w:lineRule="auto"/>
        <w:jc w:val="both"/>
        <w:rPr>
          <w:rFonts w:ascii="Times New Roman" w:eastAsia="Times New Roman" w:hAnsi="Times New Roman" w:cs="Times New Roman"/>
          <w:i/>
          <w:sz w:val="20"/>
          <w:szCs w:val="20"/>
        </w:rPr>
      </w:pPr>
      <w:r w:rsidRPr="00BC3FE9">
        <w:rPr>
          <w:rFonts w:ascii="Times New Roman" w:eastAsia="Times New Roman" w:hAnsi="Times New Roman" w:cs="Times New Roman"/>
          <w:i/>
          <w:sz w:val="20"/>
          <w:szCs w:val="20"/>
        </w:rPr>
        <w:t xml:space="preserve">South Sumatra Province has abundant potential in freshwater fisheries resources. The per capita fish consumption in South Sumatra in 2022 was recorded at 46.04 kilograms per year, which still falls short of the national target of 56.48 kilograms per capita per year. Processed food made from fish, which can be preserved, becomes a way to increase fish consumption. One traditional method of fish preservation in rural areas is through smoking. The smoking method has been part of local wisdom that has been passed down through generations in many rural communities. This study aims to describe "segelurung" as a product of local wisdom that can be an innovation to support food security policies and improve the well-being of the community. The study utilizes three approaches: literature review, surveys, and in-depth interviews. Data is collected through in-depth interviews with communities in Pali Regency, South Sumatra. The data is analyzed using a qualitative approach and presented descriptively. Segelurung is a traditional method of preserving freshwater fish by adding spices before the smoking process, giving it a spicy and savory taste with a unique aroma. Segelurung is used to extend the shelf life of freshwater fish. The integration of local wisdom, </w:t>
      </w:r>
      <w:r w:rsidRPr="00BC3FE9">
        <w:rPr>
          <w:rFonts w:ascii="Times New Roman" w:eastAsia="Times New Roman" w:hAnsi="Times New Roman" w:cs="Times New Roman"/>
          <w:i/>
          <w:sz w:val="20"/>
          <w:szCs w:val="20"/>
        </w:rPr>
        <w:lastRenderedPageBreak/>
        <w:t>segelurung, with food security policies, community well-being, and other factors presents significant opportunities. By optimizing the potential of segelurung as an innovation in fish product processing, there can be synergy between government policies, cultural preservation, improving community well-being, and developing the local fisheries sector. Local wisdom, segelurung, can be part of food security policies, especially in efforts to improve the availability and accessibility of food in rural areas.</w:t>
      </w:r>
    </w:p>
    <w:p w14:paraId="414E499A" w14:textId="59B03AB0" w:rsidR="005C6759" w:rsidRPr="00BC3FE9" w:rsidRDefault="005C6759" w:rsidP="005C6759">
      <w:pPr>
        <w:spacing w:before="100" w:beforeAutospacing="1" w:after="100" w:afterAutospacing="1" w:line="240" w:lineRule="auto"/>
        <w:ind w:left="1530" w:hanging="1530"/>
        <w:jc w:val="both"/>
        <w:rPr>
          <w:rFonts w:ascii="Times New Roman" w:eastAsia="Times New Roman" w:hAnsi="Times New Roman" w:cs="Times New Roman"/>
          <w:i/>
          <w:sz w:val="20"/>
          <w:szCs w:val="20"/>
        </w:rPr>
      </w:pPr>
      <w:r w:rsidRPr="00BC3FE9">
        <w:rPr>
          <w:rFonts w:ascii="Times New Roman" w:eastAsia="Times New Roman" w:hAnsi="Times New Roman" w:cs="Times New Roman"/>
          <w:b/>
          <w:bCs/>
          <w:i/>
          <w:iCs/>
          <w:sz w:val="24"/>
          <w:szCs w:val="24"/>
        </w:rPr>
        <w:t>KEYWORDS</w:t>
      </w:r>
      <w:r w:rsidRPr="00BC3FE9">
        <w:rPr>
          <w:rFonts w:ascii="Times New Roman" w:eastAsia="Times New Roman" w:hAnsi="Times New Roman" w:cs="Times New Roman"/>
          <w:b/>
          <w:bCs/>
          <w:i/>
          <w:sz w:val="24"/>
          <w:szCs w:val="24"/>
        </w:rPr>
        <w:t>:</w:t>
      </w:r>
      <w:r w:rsidRPr="00BC3FE9">
        <w:rPr>
          <w:rFonts w:ascii="Times New Roman" w:eastAsia="Times New Roman" w:hAnsi="Times New Roman" w:cs="Times New Roman"/>
          <w:i/>
          <w:sz w:val="24"/>
          <w:szCs w:val="24"/>
        </w:rPr>
        <w:t xml:space="preserve"> </w:t>
      </w:r>
      <w:r w:rsidR="00020E99" w:rsidRPr="00BC3FE9">
        <w:rPr>
          <w:rFonts w:ascii="Times New Roman" w:eastAsia="Times New Roman" w:hAnsi="Times New Roman" w:cs="Times New Roman"/>
          <w:i/>
          <w:sz w:val="20"/>
          <w:szCs w:val="20"/>
        </w:rPr>
        <w:t>Segelurung</w:t>
      </w:r>
      <w:r w:rsidR="00871E2C">
        <w:rPr>
          <w:rFonts w:ascii="Times New Roman" w:eastAsia="Times New Roman" w:hAnsi="Times New Roman" w:cs="Times New Roman"/>
          <w:i/>
          <w:sz w:val="20"/>
          <w:szCs w:val="20"/>
          <w:lang w:val="en-US"/>
        </w:rPr>
        <w:t>;</w:t>
      </w:r>
      <w:r w:rsidR="00020E99" w:rsidRPr="00BC3FE9">
        <w:rPr>
          <w:rFonts w:ascii="Times New Roman" w:eastAsia="Times New Roman" w:hAnsi="Times New Roman" w:cs="Times New Roman"/>
          <w:i/>
          <w:sz w:val="20"/>
          <w:szCs w:val="20"/>
        </w:rPr>
        <w:t xml:space="preserve"> </w:t>
      </w:r>
      <w:r w:rsidR="00871E2C" w:rsidRPr="00BC3FE9">
        <w:rPr>
          <w:rFonts w:ascii="Times New Roman" w:eastAsia="Times New Roman" w:hAnsi="Times New Roman" w:cs="Times New Roman"/>
          <w:i/>
          <w:sz w:val="20"/>
          <w:szCs w:val="20"/>
        </w:rPr>
        <w:t>fishes</w:t>
      </w:r>
      <w:r w:rsidR="00871E2C">
        <w:rPr>
          <w:rFonts w:ascii="Times New Roman" w:eastAsia="Times New Roman" w:hAnsi="Times New Roman" w:cs="Times New Roman"/>
          <w:i/>
          <w:sz w:val="20"/>
          <w:szCs w:val="20"/>
          <w:lang w:val="en-US"/>
        </w:rPr>
        <w:t>;</w:t>
      </w:r>
      <w:r w:rsidR="00871E2C" w:rsidRPr="00BC3FE9">
        <w:rPr>
          <w:rFonts w:ascii="Times New Roman" w:eastAsia="Times New Roman" w:hAnsi="Times New Roman" w:cs="Times New Roman"/>
          <w:i/>
          <w:sz w:val="20"/>
          <w:szCs w:val="20"/>
        </w:rPr>
        <w:t xml:space="preserve"> innovation</w:t>
      </w:r>
      <w:r w:rsidR="00871E2C">
        <w:rPr>
          <w:rFonts w:ascii="Times New Roman" w:eastAsia="Times New Roman" w:hAnsi="Times New Roman" w:cs="Times New Roman"/>
          <w:i/>
          <w:sz w:val="20"/>
          <w:szCs w:val="20"/>
          <w:lang w:val="en-US"/>
        </w:rPr>
        <w:t>;</w:t>
      </w:r>
      <w:r w:rsidR="00871E2C" w:rsidRPr="00BC3FE9">
        <w:rPr>
          <w:rFonts w:ascii="Times New Roman" w:eastAsia="Times New Roman" w:hAnsi="Times New Roman" w:cs="Times New Roman"/>
          <w:i/>
          <w:sz w:val="20"/>
          <w:szCs w:val="20"/>
        </w:rPr>
        <w:t xml:space="preserve"> local wisdom</w:t>
      </w:r>
      <w:r w:rsidR="00871E2C">
        <w:rPr>
          <w:rFonts w:ascii="Times New Roman" w:eastAsia="Times New Roman" w:hAnsi="Times New Roman" w:cs="Times New Roman"/>
          <w:i/>
          <w:sz w:val="20"/>
          <w:szCs w:val="20"/>
          <w:lang w:val="en-US"/>
        </w:rPr>
        <w:t>;</w:t>
      </w:r>
      <w:r w:rsidR="00871E2C" w:rsidRPr="00BC3FE9">
        <w:rPr>
          <w:rFonts w:ascii="Times New Roman" w:eastAsia="Times New Roman" w:hAnsi="Times New Roman" w:cs="Times New Roman"/>
          <w:i/>
          <w:sz w:val="20"/>
          <w:szCs w:val="20"/>
        </w:rPr>
        <w:t xml:space="preserve"> rural communities</w:t>
      </w:r>
    </w:p>
    <w:p w14:paraId="56F5C657" w14:textId="1689DD2D" w:rsidR="00940477" w:rsidRPr="00BC3FE9" w:rsidRDefault="00CE5172" w:rsidP="005C6759">
      <w:pPr>
        <w:autoSpaceDE w:val="0"/>
        <w:autoSpaceDN w:val="0"/>
        <w:adjustRightInd w:val="0"/>
        <w:spacing w:after="0" w:line="240" w:lineRule="auto"/>
        <w:rPr>
          <w:rFonts w:ascii="Times New Roman" w:hAnsi="Times New Roman" w:cs="Times New Roman"/>
          <w:b/>
          <w:bCs/>
          <w:sz w:val="24"/>
          <w:szCs w:val="24"/>
        </w:rPr>
      </w:pPr>
      <w:r w:rsidRPr="00BC3FE9">
        <w:rPr>
          <w:rFonts w:ascii="Times New Roman" w:hAnsi="Times New Roman" w:cs="Times New Roman"/>
          <w:b/>
          <w:bCs/>
          <w:sz w:val="24"/>
          <w:szCs w:val="24"/>
        </w:rPr>
        <w:t>PENDAHULUAN</w:t>
      </w:r>
    </w:p>
    <w:p w14:paraId="366B6571" w14:textId="23032B38" w:rsidR="007F72C8" w:rsidRPr="00BC3FE9" w:rsidRDefault="007F72C8" w:rsidP="00FD6CFA">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Provinsi Sumatera Selatan memiliki potensi sumber daya perikanan air tawar yang melimpah. Perikanan air tawar menjadi sumber utama protein yang terjangkau bagi penduduk di wilayah tersebut. Namun, sangat disayangkan bahwa masih terdapat permasalahan gizi kronis </w:t>
      </w:r>
      <w:r w:rsidR="00E25CA4" w:rsidRPr="00BC3FE9">
        <w:rPr>
          <w:rFonts w:ascii="Times New Roman" w:hAnsi="Times New Roman" w:cs="Times New Roman"/>
          <w:sz w:val="24"/>
          <w:szCs w:val="24"/>
        </w:rPr>
        <w:t xml:space="preserve">stunting yang berhubungan </w:t>
      </w:r>
      <w:r w:rsidR="00DE7070" w:rsidRPr="00BC3FE9">
        <w:rPr>
          <w:rFonts w:ascii="Times New Roman" w:hAnsi="Times New Roman" w:cs="Times New Roman"/>
          <w:sz w:val="24"/>
          <w:szCs w:val="24"/>
        </w:rPr>
        <w:t xml:space="preserve">dengan </w:t>
      </w:r>
      <w:r w:rsidR="00E25CA4" w:rsidRPr="00BC3FE9">
        <w:rPr>
          <w:rFonts w:ascii="Times New Roman" w:hAnsi="Times New Roman" w:cs="Times New Roman"/>
          <w:sz w:val="24"/>
          <w:szCs w:val="24"/>
        </w:rPr>
        <w:t>konsumsi protein</w:t>
      </w:r>
      <w:r w:rsidR="00DE7070" w:rsidRPr="00BC3FE9">
        <w:rPr>
          <w:rFonts w:ascii="Times New Roman" w:hAnsi="Times New Roman" w:cs="Times New Roman"/>
          <w:sz w:val="24"/>
          <w:szCs w:val="24"/>
        </w:rPr>
        <w:t>. Angka stunting</w:t>
      </w:r>
      <w:r w:rsidR="00E25CA4" w:rsidRPr="00BC3FE9">
        <w:rPr>
          <w:rFonts w:ascii="Times New Roman" w:hAnsi="Times New Roman" w:cs="Times New Roman"/>
          <w:sz w:val="24"/>
          <w:szCs w:val="24"/>
        </w:rPr>
        <w:t xml:space="preserve"> </w:t>
      </w:r>
      <w:r w:rsidRPr="00BC3FE9">
        <w:rPr>
          <w:rFonts w:ascii="Times New Roman" w:hAnsi="Times New Roman" w:cs="Times New Roman"/>
          <w:sz w:val="24"/>
          <w:szCs w:val="24"/>
        </w:rPr>
        <w:t xml:space="preserve">di </w:t>
      </w:r>
      <w:r w:rsidR="00E25CA4" w:rsidRPr="00BC3FE9">
        <w:rPr>
          <w:rFonts w:ascii="Times New Roman" w:hAnsi="Times New Roman" w:cs="Times New Roman"/>
          <w:sz w:val="24"/>
          <w:szCs w:val="24"/>
        </w:rPr>
        <w:t>P</w:t>
      </w:r>
      <w:r w:rsidRPr="00BC3FE9">
        <w:rPr>
          <w:rFonts w:ascii="Times New Roman" w:hAnsi="Times New Roman" w:cs="Times New Roman"/>
          <w:sz w:val="24"/>
          <w:szCs w:val="24"/>
        </w:rPr>
        <w:t xml:space="preserve">rovinsi </w:t>
      </w:r>
      <w:r w:rsidR="00E25CA4" w:rsidRPr="00BC3FE9">
        <w:rPr>
          <w:rFonts w:ascii="Times New Roman" w:hAnsi="Times New Roman" w:cs="Times New Roman"/>
          <w:sz w:val="24"/>
          <w:szCs w:val="24"/>
        </w:rPr>
        <w:t xml:space="preserve">Sumatera Selatan </w:t>
      </w:r>
      <w:r w:rsidR="00DE7070" w:rsidRPr="00BC3FE9">
        <w:rPr>
          <w:rFonts w:ascii="Times New Roman" w:hAnsi="Times New Roman" w:cs="Times New Roman"/>
          <w:sz w:val="24"/>
          <w:szCs w:val="24"/>
        </w:rPr>
        <w:t>sebesar</w:t>
      </w:r>
      <w:r w:rsidR="00E25CA4" w:rsidRPr="00BC3FE9">
        <w:rPr>
          <w:rFonts w:ascii="Times New Roman" w:hAnsi="Times New Roman" w:cs="Times New Roman"/>
          <w:sz w:val="24"/>
          <w:szCs w:val="24"/>
        </w:rPr>
        <w:t xml:space="preserve"> 18,6%</w:t>
      </w:r>
      <w:r w:rsidR="00DE7070" w:rsidRPr="00BC3FE9">
        <w:rPr>
          <w:rFonts w:ascii="Times New Roman" w:hAnsi="Times New Roman" w:cs="Times New Roman"/>
          <w:sz w:val="24"/>
          <w:szCs w:val="24"/>
        </w:rPr>
        <w:t xml:space="preserve"> belum mencapai target penurunan stunting nasional yaitu 14%</w:t>
      </w:r>
      <w:r w:rsidR="00266B57" w:rsidRPr="00BC3FE9">
        <w:rPr>
          <w:rFonts w:ascii="Times New Roman" w:hAnsi="Times New Roman" w:cs="Times New Roman"/>
          <w:sz w:val="24"/>
          <w:szCs w:val="24"/>
        </w:rPr>
        <w:t xml:space="preserve"> (SSGI, 2022)</w:t>
      </w:r>
      <w:r w:rsidRPr="00BC3FE9">
        <w:rPr>
          <w:rFonts w:ascii="Times New Roman" w:hAnsi="Times New Roman" w:cs="Times New Roman"/>
          <w:sz w:val="24"/>
          <w:szCs w:val="24"/>
        </w:rPr>
        <w:t xml:space="preserve">. </w:t>
      </w:r>
      <w:r w:rsidR="00FE22AB" w:rsidRPr="00BC3FE9">
        <w:rPr>
          <w:rFonts w:ascii="Times New Roman" w:hAnsi="Times New Roman" w:cs="Times New Roman"/>
          <w:sz w:val="24"/>
          <w:szCs w:val="24"/>
        </w:rPr>
        <w:t xml:space="preserve">Angka konsumsi ikan Provinsi Sumatera Selatan tahun 2022 yaitu 46,04 kilogram per kapita per tahun masih kesulitan dalam mengejar target konsumsi ikan secara nasional 56,48 kilogram per kapita per tahun (KKP, 2022). </w:t>
      </w:r>
      <w:r w:rsidR="00DE7070" w:rsidRPr="00BC3FE9">
        <w:rPr>
          <w:rFonts w:ascii="Times New Roman" w:hAnsi="Times New Roman" w:cs="Times New Roman"/>
          <w:sz w:val="24"/>
          <w:szCs w:val="24"/>
        </w:rPr>
        <w:t>Selain mencukupi kebutuhan gizi dan pangan, p</w:t>
      </w:r>
      <w:r w:rsidRPr="00BC3FE9">
        <w:rPr>
          <w:rFonts w:ascii="Times New Roman" w:hAnsi="Times New Roman" w:cs="Times New Roman"/>
          <w:sz w:val="24"/>
          <w:szCs w:val="24"/>
        </w:rPr>
        <w:t xml:space="preserve">erikanan air tawar </w:t>
      </w:r>
      <w:r w:rsidR="00EB4301" w:rsidRPr="00BC3FE9">
        <w:rPr>
          <w:rFonts w:ascii="Times New Roman" w:hAnsi="Times New Roman" w:cs="Times New Roman"/>
          <w:sz w:val="24"/>
          <w:szCs w:val="24"/>
        </w:rPr>
        <w:t xml:space="preserve">juga </w:t>
      </w:r>
      <w:r w:rsidRPr="00BC3FE9">
        <w:rPr>
          <w:rFonts w:ascii="Times New Roman" w:hAnsi="Times New Roman" w:cs="Times New Roman"/>
          <w:sz w:val="24"/>
          <w:szCs w:val="24"/>
        </w:rPr>
        <w:t xml:space="preserve">berfungsi sebagai sumber mata pencaharian utama bagi sebagian besar masyarakat di pedesaan, terutama para nelayan, pembudidaya ikan, pedagang ikan dan pengolah hasil perikanan. Namun, perikanan air tawar juga menghadapi berbagai tantangan, seperti diperlukan upaya dalam pengawetan ikan agar dapat bertahan dalam jangka waktu yang lebih lama. </w:t>
      </w:r>
    </w:p>
    <w:p w14:paraId="7F4EAA7F" w14:textId="36945AD9" w:rsidR="00F2739A" w:rsidRPr="00BC3FE9" w:rsidRDefault="0041259D" w:rsidP="00FD6CFA">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eastAsia="Times New Roman" w:hAnsi="Times New Roman" w:cs="Times New Roman"/>
          <w:sz w:val="24"/>
          <w:szCs w:val="24"/>
        </w:rPr>
        <w:t xml:space="preserve">Makanan olahan terbuat dari ikan </w:t>
      </w:r>
      <w:r w:rsidR="004F6BDE" w:rsidRPr="00BC3FE9">
        <w:rPr>
          <w:rFonts w:ascii="Times New Roman" w:eastAsia="Times New Roman" w:hAnsi="Times New Roman" w:cs="Times New Roman"/>
          <w:sz w:val="24"/>
          <w:szCs w:val="24"/>
        </w:rPr>
        <w:t xml:space="preserve">yang dapat diawetkan </w:t>
      </w:r>
      <w:r w:rsidRPr="00BC3FE9">
        <w:rPr>
          <w:rFonts w:ascii="Times New Roman" w:eastAsia="Times New Roman" w:hAnsi="Times New Roman" w:cs="Times New Roman"/>
          <w:sz w:val="24"/>
          <w:szCs w:val="24"/>
        </w:rPr>
        <w:t xml:space="preserve">menjadi cara meningkatkan angka konsumsi ikan. </w:t>
      </w:r>
      <w:r w:rsidR="007F72C8" w:rsidRPr="00BC3FE9">
        <w:rPr>
          <w:rFonts w:ascii="Times New Roman" w:hAnsi="Times New Roman" w:cs="Times New Roman"/>
          <w:sz w:val="24"/>
          <w:szCs w:val="24"/>
        </w:rPr>
        <w:t>Salah satu cara tradisional pengawetan ikan di pedesan dilakukan dengan cara pengasapan</w:t>
      </w:r>
      <w:r w:rsidR="00EB4301" w:rsidRPr="00BC3FE9">
        <w:rPr>
          <w:rFonts w:ascii="Times New Roman" w:hAnsi="Times New Roman" w:cs="Times New Roman"/>
          <w:sz w:val="24"/>
          <w:szCs w:val="24"/>
        </w:rPr>
        <w:t xml:space="preserve">. </w:t>
      </w:r>
      <w:r w:rsidR="007F72C8" w:rsidRPr="00BC3FE9">
        <w:rPr>
          <w:rFonts w:ascii="Times New Roman" w:hAnsi="Times New Roman" w:cs="Times New Roman"/>
          <w:sz w:val="24"/>
          <w:szCs w:val="24"/>
        </w:rPr>
        <w:t>Metode pengasapan ikan telah menjadi bagian dari kearifan lokal yang diwariskan secara turun-temurun dalam banyak masyarakat, terutama di daerah yang memiliki akses terhadap sumber daya perikanan.</w:t>
      </w:r>
      <w:r w:rsidR="00EB4301" w:rsidRPr="00BC3FE9">
        <w:rPr>
          <w:rFonts w:ascii="Times New Roman" w:hAnsi="Times New Roman" w:cs="Times New Roman"/>
          <w:sz w:val="24"/>
          <w:szCs w:val="24"/>
        </w:rPr>
        <w:t xml:space="preserve"> </w:t>
      </w:r>
      <w:r w:rsidR="00E076A6" w:rsidRPr="00BC3FE9">
        <w:rPr>
          <w:rFonts w:ascii="Times New Roman" w:hAnsi="Times New Roman" w:cs="Times New Roman"/>
          <w:sz w:val="24"/>
          <w:szCs w:val="24"/>
        </w:rPr>
        <w:t xml:space="preserve">Keanekaragaman warisan budaya di Indonesia mencerminkan kekayaan </w:t>
      </w:r>
      <w:r w:rsidR="00E076A6" w:rsidRPr="00BC3FE9">
        <w:rPr>
          <w:rFonts w:ascii="Times New Roman" w:hAnsi="Times New Roman" w:cs="Times New Roman"/>
          <w:sz w:val="24"/>
          <w:szCs w:val="24"/>
        </w:rPr>
        <w:lastRenderedPageBreak/>
        <w:t xml:space="preserve">kearifan lokal yang terwujud dalam </w:t>
      </w:r>
      <w:r w:rsidR="007B6BC7" w:rsidRPr="00BC3FE9">
        <w:rPr>
          <w:rFonts w:ascii="Times New Roman" w:hAnsi="Times New Roman" w:cs="Times New Roman"/>
          <w:sz w:val="24"/>
          <w:szCs w:val="24"/>
        </w:rPr>
        <w:t>salah satunya yaitu</w:t>
      </w:r>
      <w:r w:rsidR="00E076A6" w:rsidRPr="00BC3FE9">
        <w:rPr>
          <w:rFonts w:ascii="Times New Roman" w:hAnsi="Times New Roman" w:cs="Times New Roman"/>
          <w:sz w:val="24"/>
          <w:szCs w:val="24"/>
        </w:rPr>
        <w:t xml:space="preserve"> makanan tradisional yang unik di setiap daerah </w:t>
      </w:r>
      <w:r w:rsidR="00E076A6" w:rsidRPr="00BC3FE9">
        <w:rPr>
          <w:rFonts w:ascii="Times New Roman" w:hAnsi="Times New Roman" w:cs="Times New Roman"/>
          <w:sz w:val="24"/>
          <w:szCs w:val="24"/>
        </w:rPr>
        <w:fldChar w:fldCharType="begin" w:fldLock="1"/>
      </w:r>
      <w:r w:rsidR="00E076A6" w:rsidRPr="00BC3FE9">
        <w:rPr>
          <w:rFonts w:ascii="Times New Roman" w:hAnsi="Times New Roman" w:cs="Times New Roman"/>
          <w:sz w:val="24"/>
          <w:szCs w:val="24"/>
        </w:rPr>
        <w:instrText>ADDIN CSL_CITATION {"citationItems":[{"id":"ITEM-1","itemData":{"DOI":"10.2991/assehr.k.200323.063","abstract":"… This kirab/carnival is accompanied by the Reog art when the tebu temanten begins to depart from the official house to the front of the sugar … This ceremony is in the form of performing arts as a cultural attraction … Budaya Lokal Di Era Global: Jurnal Ekspresi Seni: 20(2), 102- 112 …","author":[{"dropping-particle":"","family":"Fauzi","given":"Heny Indriastuti Riza","non-dropping-particle":"","parse-names":false,"suffix":""},{"dropping-particle":"","family":"Saddhono","given":"Kundharu","non-dropping-particle":"","parse-names":false,"suffix":""},{"dropping-particle":"","family":"Rakhmawati","given":"Ani","non-dropping-particle":"","parse-names":false,"suffix":""}],"id":"ITEM-1","issue":"Icalc 2019","issued":{"date-parts":[["2020"]]},"page":"548-555","title":"The Ritual “Mantenan Tebu” and Its Role as the Promotion Media of Inherited Indonesian Culture","type":"article-journal","volume":"421"},"uris":["http://www.mendeley.com/documents/?uuid=3a390705-43c5-4192-a58c-8b087cfc31d6"]}],"mendeley":{"formattedCitation":"(Fauzi et al., 2020)","plainTextFormattedCitation":"(Fauzi et al., 2020)","previouslyFormattedCitation":"(Fauzi et al., 2020)"},"properties":{"noteIndex":0},"schema":"https://github.com/citation-style-language/schema/raw/master/csl-citation.json"}</w:instrText>
      </w:r>
      <w:r w:rsidR="00E076A6" w:rsidRPr="00BC3FE9">
        <w:rPr>
          <w:rFonts w:ascii="Times New Roman" w:hAnsi="Times New Roman" w:cs="Times New Roman"/>
          <w:sz w:val="24"/>
          <w:szCs w:val="24"/>
        </w:rPr>
        <w:fldChar w:fldCharType="separate"/>
      </w:r>
      <w:r w:rsidR="00E076A6" w:rsidRPr="00BC3FE9">
        <w:rPr>
          <w:rFonts w:ascii="Times New Roman" w:hAnsi="Times New Roman" w:cs="Times New Roman"/>
          <w:noProof/>
          <w:sz w:val="24"/>
          <w:szCs w:val="24"/>
        </w:rPr>
        <w:t>(Fauzi et al., 2020)</w:t>
      </w:r>
      <w:r w:rsidR="00E076A6" w:rsidRPr="00BC3FE9">
        <w:rPr>
          <w:rFonts w:ascii="Times New Roman" w:hAnsi="Times New Roman" w:cs="Times New Roman"/>
          <w:sz w:val="24"/>
          <w:szCs w:val="24"/>
        </w:rPr>
        <w:fldChar w:fldCharType="end"/>
      </w:r>
      <w:r w:rsidR="00E076A6" w:rsidRPr="00BC3FE9">
        <w:rPr>
          <w:rFonts w:ascii="Times New Roman" w:hAnsi="Times New Roman" w:cs="Times New Roman"/>
          <w:sz w:val="24"/>
          <w:szCs w:val="24"/>
        </w:rPr>
        <w:t xml:space="preserve">. </w:t>
      </w:r>
      <w:r w:rsidR="00D36F92" w:rsidRPr="00BC3FE9">
        <w:rPr>
          <w:rFonts w:ascii="Times New Roman" w:hAnsi="Times New Roman" w:cs="Times New Roman"/>
          <w:sz w:val="24"/>
          <w:szCs w:val="24"/>
        </w:rPr>
        <w:t xml:space="preserve">Kearifan lokal merupakan bagian dari budaya suatu masyarakat yang tidak dapat dipisahkan dari bahasa masyarakat itu sendiri </w:t>
      </w:r>
      <w:r w:rsidR="00D36F92" w:rsidRPr="00BC3FE9">
        <w:rPr>
          <w:rFonts w:ascii="Times New Roman" w:hAnsi="Times New Roman" w:cs="Times New Roman"/>
          <w:sz w:val="24"/>
          <w:szCs w:val="24"/>
        </w:rPr>
        <w:fldChar w:fldCharType="begin" w:fldLock="1"/>
      </w:r>
      <w:r w:rsidR="00D36F92" w:rsidRPr="00BC3FE9">
        <w:rPr>
          <w:rFonts w:ascii="Times New Roman" w:hAnsi="Times New Roman" w:cs="Times New Roman"/>
          <w:sz w:val="24"/>
          <w:szCs w:val="24"/>
        </w:rPr>
        <w:instrText>ADDIN CSL_CITATION {"citationItems":[{"id":"ITEM-1","itemData":{"ISSN":"2089-550X","abstract":"Characteristics of people in coastal area are taught and open mind like sea which is analog to open access and high risk. They inherit knowledge from their ancestors who refered to stars constelation as guide, besides other traditional technologies. There are four research questions: (1) How are technologies inherited to young generations? (2) Are the developing fish technologies accepted? (3) What are governments’, scholars’, and NGO’s roles? and (4) How is people’s responds towards modern technologies? Meanwhile, this research wants: (1) To know inheritance technologies, (2) To understand acceptability level, (3) To explore the roles’ of governments, NGOs, and scholars, and (4) To recognize people’s respond toward technologies. Fisheries commodities have comparative advance, although they are perishable food that need quick, accurate, and right treatment. The research was conducted in Larantuka Sub-district of East Flores. Observation and interview were data collection methods applied in this research. Data were analysed using SWOT analysis. It is concluded that traditional technologies are useful to preserve local culture and wisdom. The role of government through local development agents, NGOs, and scholars via trainning has not applicable yet for the community in the wide area and has limitations of man power.","author":[{"dropping-particle":"","family":"Nawastuti","given":"Dati","non-dropping-particle":"","parse-names":false,"suffix":""}],"container-title":"Jurnal Maksipreneur: Manajemen, Koperasi, dan Entrepreneurship","id":"ITEM-1","issue":"1","issued":{"date-parts":[["2018"]]},"page":"32-44","title":"Kearifan Lokal Masyarakat Pesisir dalam Memahami Teknologi Hasil Perikanan","type":"article-journal","volume":"8"},"uris":["http://www.mendeley.com/documents/?uuid=3cc3ebc3-2be8-4766-a84f-0705833f887d"]}],"mendeley":{"formattedCitation":"(Nawastuti, 2018)","plainTextFormattedCitation":"(Nawastuti, 2018)","previouslyFormattedCitation":"(Nawastuti, 2018)"},"properties":{"noteIndex":0},"schema":"https://github.com/citation-style-language/schema/raw/master/csl-citation.json"}</w:instrText>
      </w:r>
      <w:r w:rsidR="00D36F92" w:rsidRPr="00BC3FE9">
        <w:rPr>
          <w:rFonts w:ascii="Times New Roman" w:hAnsi="Times New Roman" w:cs="Times New Roman"/>
          <w:sz w:val="24"/>
          <w:szCs w:val="24"/>
        </w:rPr>
        <w:fldChar w:fldCharType="separate"/>
      </w:r>
      <w:r w:rsidR="00D36F92" w:rsidRPr="00BC3FE9">
        <w:rPr>
          <w:rFonts w:ascii="Times New Roman" w:hAnsi="Times New Roman" w:cs="Times New Roman"/>
          <w:noProof/>
          <w:sz w:val="24"/>
          <w:szCs w:val="24"/>
        </w:rPr>
        <w:t>(Nawastuti, 2018)</w:t>
      </w:r>
      <w:r w:rsidR="00D36F92" w:rsidRPr="00BC3FE9">
        <w:rPr>
          <w:rFonts w:ascii="Times New Roman" w:hAnsi="Times New Roman" w:cs="Times New Roman"/>
          <w:sz w:val="24"/>
          <w:szCs w:val="24"/>
        </w:rPr>
        <w:fldChar w:fldCharType="end"/>
      </w:r>
      <w:r w:rsidR="00D36F92" w:rsidRPr="00BC3FE9">
        <w:rPr>
          <w:rFonts w:ascii="Times New Roman" w:hAnsi="Times New Roman" w:cs="Times New Roman"/>
          <w:sz w:val="24"/>
          <w:szCs w:val="24"/>
        </w:rPr>
        <w:t>.</w:t>
      </w:r>
      <w:r w:rsidR="00FD6CFA" w:rsidRPr="00BC3FE9">
        <w:rPr>
          <w:rFonts w:ascii="Times New Roman" w:hAnsi="Times New Roman" w:cs="Times New Roman"/>
          <w:sz w:val="24"/>
          <w:szCs w:val="24"/>
        </w:rPr>
        <w:t xml:space="preserve"> Kearifan lokal merupakan suatu nilai budaya yang tidak terlepas dari kehidupan masyarakat Indonesia dan diakui keberadaannya oleh hukum negara </w:t>
      </w:r>
      <w:r w:rsidR="00FD6CFA" w:rsidRPr="00BC3FE9">
        <w:rPr>
          <w:rFonts w:ascii="Times New Roman" w:hAnsi="Times New Roman" w:cs="Times New Roman"/>
          <w:sz w:val="24"/>
          <w:szCs w:val="24"/>
        </w:rPr>
        <w:fldChar w:fldCharType="begin" w:fldLock="1"/>
      </w:r>
      <w:r w:rsidR="00350B7F" w:rsidRPr="00BC3FE9">
        <w:rPr>
          <w:rFonts w:ascii="Times New Roman" w:hAnsi="Times New Roman" w:cs="Times New Roman"/>
          <w:sz w:val="24"/>
          <w:szCs w:val="24"/>
        </w:rPr>
        <w:instrText>ADDIN CSL_CITATION {"citationItems":[{"id":"ITEM-1","itemData":{"DOI":"10.15578/jkpi.8.1.2016.1-12","ISSN":"1979-6366","abstract":"Kearifan lokal merupakan suatu nilai budaya yang tidak terlepas dari kehidupan masyarakat Indonesia dan diakui keberadaannya oleh hukum negara. Kearifan lokal yang masih berlakudi dalam kehidupan masyarakat Sumatera terkait dengan pengelolaan perikanan perairan umum daratan terdiri dari lelang lebak lebung (Sumatera Selatan), lubuk larangan (Jambi dan Sumatera Barat), rantau larangan (Riau), ma’uwo (Riau), dan upacara semah terubuk (Riau).Dari kelima kearifan lokal tersebut, lubuk larangan termasuk sistem pengelolaannya sudah menjadi salah satu kegiatan pemerintah sampai di tingkat nasional.Penguatan kearifan lokal dengan kajian ilmiah dapat menjadikan kearifan lokal sebagai bagian dari sistem pengelolaan perikanan yang efektif dan efisien berbasis masyarakat.Kajian ilmiah terhadap kearifan lokal yang berhubungan dengan pengelolaan perikanan dapat didekati dengan etnobiologi (analisis emik dan analisis etik).Selanjutnya, kearifan lokal dapat diperkuat secara hukum dan perundang-undangan yang berlaku secara nasional. Local wisdom is a cultural value that can not be separated from the life of the Indonesian people and its existence is recognized by state law. Local wisdoms found in Sumatra related to inland fisheries management are lebak lebung (South Sumatra), lubuk larangan (Jambi and West Sumatra), rantau larangan (Riau), ma'uwo (Riau), and upacara semah terubuk (Riau).Lubuk larangan including its management system has become one of the government's activities to the national level. Strengthening local wisdom with scientific studies can make it is as part of effective and efficient community-based fisheries management system. Scientific studies on local wisdom related to fisheries management could be analyzed by applying ethnobiology approach (emic and etic analysis).","author":[{"dropping-particle":"","family":"Oktaviani","given":"Dian","non-dropping-particle":"","parse-names":false,"suffix":""},{"dropping-particle":"","family":"Prianto","given":"Eko","non-dropping-particle":"","parse-names":false,"suffix":""},{"dropping-particle":"","family":"Puspasari","given":"Reny","non-dropping-particle":"","parse-names":false,"suffix":""}],"container-title":"Jurnal Kebijakan Perikanan Indonesia","id":"ITEM-1","issue":"1","issued":{"date-parts":[["2016"]]},"page":"1","title":"Penguatan Kearifan Lokal Sebagai Landasan Pengelolaan Perikanan Perairan Umum Daratan Di Sumatera","type":"article-journal","volume":"8"},"uris":["http://www.mendeley.com/documents/?uuid=2cfae873-3578-45a8-acd0-d3707724c072"]}],"mendeley":{"formattedCitation":"(Oktaviani et al., 2016)","plainTextFormattedCitation":"(Oktaviani et al., 2016)","previouslyFormattedCitation":"(Oktaviani et al., 2016)"},"properties":{"noteIndex":0},"schema":"https://github.com/citation-style-language/schema/raw/master/csl-citation.json"}</w:instrText>
      </w:r>
      <w:r w:rsidR="00FD6CFA" w:rsidRPr="00BC3FE9">
        <w:rPr>
          <w:rFonts w:ascii="Times New Roman" w:hAnsi="Times New Roman" w:cs="Times New Roman"/>
          <w:sz w:val="24"/>
          <w:szCs w:val="24"/>
        </w:rPr>
        <w:fldChar w:fldCharType="separate"/>
      </w:r>
      <w:r w:rsidR="00FD6CFA" w:rsidRPr="00BC3FE9">
        <w:rPr>
          <w:rFonts w:ascii="Times New Roman" w:hAnsi="Times New Roman" w:cs="Times New Roman"/>
          <w:noProof/>
          <w:sz w:val="24"/>
          <w:szCs w:val="24"/>
        </w:rPr>
        <w:t>(Oktaviani et al., 2016)</w:t>
      </w:r>
      <w:r w:rsidR="00FD6CFA" w:rsidRPr="00BC3FE9">
        <w:rPr>
          <w:rFonts w:ascii="Times New Roman" w:hAnsi="Times New Roman" w:cs="Times New Roman"/>
          <w:sz w:val="24"/>
          <w:szCs w:val="24"/>
        </w:rPr>
        <w:fldChar w:fldCharType="end"/>
      </w:r>
      <w:r w:rsidR="00FD6CFA" w:rsidRPr="00BC3FE9">
        <w:rPr>
          <w:rFonts w:ascii="Times New Roman" w:hAnsi="Times New Roman" w:cs="Times New Roman"/>
          <w:sz w:val="24"/>
          <w:szCs w:val="24"/>
        </w:rPr>
        <w:t xml:space="preserve">. </w:t>
      </w:r>
      <w:r w:rsidR="00E6720E" w:rsidRPr="00BC3FE9">
        <w:rPr>
          <w:rFonts w:ascii="Times New Roman" w:hAnsi="Times New Roman" w:cs="Times New Roman"/>
          <w:sz w:val="24"/>
          <w:szCs w:val="24"/>
        </w:rPr>
        <w:t>Da</w:t>
      </w:r>
      <w:r w:rsidR="00177BD9" w:rsidRPr="00BC3FE9">
        <w:rPr>
          <w:rFonts w:ascii="Times New Roman" w:hAnsi="Times New Roman" w:cs="Times New Roman"/>
          <w:sz w:val="24"/>
          <w:szCs w:val="24"/>
        </w:rPr>
        <w:t xml:space="preserve">lam pengelolaan sumberdaya perikanan, penerapan kearifan lokal tidak dapat dipisahkan dari pengaruh adat istiadat masyarakat setempat </w:t>
      </w:r>
      <w:r w:rsidR="00177BD9" w:rsidRPr="00BC3FE9">
        <w:rPr>
          <w:rFonts w:ascii="Times New Roman" w:hAnsi="Times New Roman" w:cs="Times New Roman"/>
          <w:sz w:val="24"/>
          <w:szCs w:val="24"/>
        </w:rPr>
        <w:fldChar w:fldCharType="begin" w:fldLock="1"/>
      </w:r>
      <w:r w:rsidR="00177BD9" w:rsidRPr="00BC3FE9">
        <w:rPr>
          <w:rFonts w:ascii="Times New Roman" w:hAnsi="Times New Roman" w:cs="Times New Roman"/>
          <w:sz w:val="24"/>
          <w:szCs w:val="24"/>
        </w:rPr>
        <w:instrText>ADDIN CSL_CITATION {"citationItems":[{"id":"ITEM-1","itemData":{"author":[{"dropping-particle":"","family":"Prianto","given":"Eko","non-dropping-particle":"","parse-names":false,"suffix":""},{"dropping-particle":"","family":"Jhonnerie","given":"Romie","non-dropping-particle":"","parse-names":false,"suffix":""},{"dropping-particle":"","family":"Oktorini","given":"Yossi","non-dropping-particle":"","parse-names":false,"suffix":""},{"dropping-particle":"","family":"Fauzi","given":"Muhammad","non-dropping-particle":"","parse-names":false,"suffix":""}],"container-title":"Jurnal Kebijakan Perikanan Indonesia","id":"ITEM-1","issue":"1","issued":{"date-parts":[["2023"]]},"page":"11-20","title":"Sistem Pajak ” Sebagai Instrument Pengelolaan Sumberdaya Perikanan Sungai Dan Rawa Banjiran Berbasis Kearifan Lokal Di Kecamatan Langgam Provinsi Riau","type":"article-journal","volume":"15"},"uris":["http://www.mendeley.com/documents/?uuid=ae976ee8-5d22-4cae-8f00-ee5fb94660f3"]}],"mendeley":{"formattedCitation":"(Prianto et al., 2023)","plainTextFormattedCitation":"(Prianto et al., 2023)","previouslyFormattedCitation":"(Prianto et al., 2023)"},"properties":{"noteIndex":0},"schema":"https://github.com/citation-style-language/schema/raw/master/csl-citation.json"}</w:instrText>
      </w:r>
      <w:r w:rsidR="00177BD9" w:rsidRPr="00BC3FE9">
        <w:rPr>
          <w:rFonts w:ascii="Times New Roman" w:hAnsi="Times New Roman" w:cs="Times New Roman"/>
          <w:sz w:val="24"/>
          <w:szCs w:val="24"/>
        </w:rPr>
        <w:fldChar w:fldCharType="separate"/>
      </w:r>
      <w:r w:rsidR="00177BD9" w:rsidRPr="00BC3FE9">
        <w:rPr>
          <w:rFonts w:ascii="Times New Roman" w:hAnsi="Times New Roman" w:cs="Times New Roman"/>
          <w:noProof/>
          <w:sz w:val="24"/>
          <w:szCs w:val="24"/>
        </w:rPr>
        <w:t>(Prianto et al., 2023)</w:t>
      </w:r>
      <w:r w:rsidR="00177BD9" w:rsidRPr="00BC3FE9">
        <w:rPr>
          <w:rFonts w:ascii="Times New Roman" w:hAnsi="Times New Roman" w:cs="Times New Roman"/>
          <w:sz w:val="24"/>
          <w:szCs w:val="24"/>
        </w:rPr>
        <w:fldChar w:fldCharType="end"/>
      </w:r>
      <w:r w:rsidR="00177BD9" w:rsidRPr="00BC3FE9">
        <w:rPr>
          <w:rFonts w:ascii="Times New Roman" w:hAnsi="Times New Roman" w:cs="Times New Roman"/>
          <w:sz w:val="24"/>
          <w:szCs w:val="24"/>
        </w:rPr>
        <w:t xml:space="preserve">, </w:t>
      </w:r>
      <w:r w:rsidR="00177BD9" w:rsidRPr="00BC3FE9">
        <w:rPr>
          <w:rFonts w:ascii="Times New Roman" w:hAnsi="Times New Roman" w:cs="Times New Roman"/>
          <w:sz w:val="24"/>
          <w:szCs w:val="24"/>
        </w:rPr>
        <w:fldChar w:fldCharType="begin" w:fldLock="1"/>
      </w:r>
      <w:r w:rsidR="00177BD9" w:rsidRPr="00BC3FE9">
        <w:rPr>
          <w:rFonts w:ascii="Times New Roman" w:hAnsi="Times New Roman" w:cs="Times New Roman"/>
          <w:sz w:val="24"/>
          <w:szCs w:val="24"/>
        </w:rPr>
        <w:instrText>ADDIN CSL_CITATION {"citationItems":[{"id":"ITEM-1","itemData":{"abstract":"… bersifat open access di mana setiap orang atau kelompok nelayan memanfaatkan sumberdaya ikan untuk memaksimalkan manfaat ekonomi, namun mengabaikan manfaat ekologi …","author":[{"dropping-particle":"","family":"Purwoko","given":"Rudy Masuswo","non-dropping-particle":"","parse-names":false,"suffix":""},{"dropping-particle":"","family":"Husnah","given":"","non-dropping-particle":"","parse-names":false,"suffix":""},{"dropping-particle":"","family":"Aisyah","given":"","non-dropping-particle":"","parse-names":false,"suffix":""},{"dropping-particle":"","family":"Haryuni","given":"Setiya Tri","non-dropping-particle":"","parse-names":false,"suffix":""},{"dropping-particle":"","family":"Kasim","given":"Kamaluddin","non-dropping-particle":"","parse-names":false,"suffix":""},{"dropping-particle":"","family":"Prianto","given":"Eko","non-dropping-particle":"","parse-names":false,"suffix":""}],"container-title":"Kebijakan Perikanan Indonesia (JKP","id":"ITEM-1","issue":"1","issued":{"date-parts":[["2021"]]},"page":"9-16","title":"“Panglima danau” Sebagai Model Pengelolaan Sumberdaya Perikanan Berkelanjutan Berbasis Kearifan Lokal di Danau Aneuk Laot","type":"article-journal","volume":"13"},"uris":["http://www.mendeley.com/documents/?uuid=2bf62a3d-43f2-4247-9213-9d25c53d5e1c"]}],"mendeley":{"formattedCitation":"(Purwoko et al., 2021)","plainTextFormattedCitation":"(Purwoko et al., 2021)","previouslyFormattedCitation":"(Purwoko et al., 2021)"},"properties":{"noteIndex":0},"schema":"https://github.com/citation-style-language/schema/raw/master/csl-citation.json"}</w:instrText>
      </w:r>
      <w:r w:rsidR="00177BD9" w:rsidRPr="00BC3FE9">
        <w:rPr>
          <w:rFonts w:ascii="Times New Roman" w:hAnsi="Times New Roman" w:cs="Times New Roman"/>
          <w:sz w:val="24"/>
          <w:szCs w:val="24"/>
        </w:rPr>
        <w:fldChar w:fldCharType="separate"/>
      </w:r>
      <w:r w:rsidR="00177BD9" w:rsidRPr="00BC3FE9">
        <w:rPr>
          <w:rFonts w:ascii="Times New Roman" w:hAnsi="Times New Roman" w:cs="Times New Roman"/>
          <w:noProof/>
          <w:sz w:val="24"/>
          <w:szCs w:val="24"/>
        </w:rPr>
        <w:t>(Purwoko et al., 2021)</w:t>
      </w:r>
      <w:r w:rsidR="00177BD9" w:rsidRPr="00BC3FE9">
        <w:rPr>
          <w:rFonts w:ascii="Times New Roman" w:hAnsi="Times New Roman" w:cs="Times New Roman"/>
          <w:sz w:val="24"/>
          <w:szCs w:val="24"/>
        </w:rPr>
        <w:fldChar w:fldCharType="end"/>
      </w:r>
      <w:r w:rsidR="00177BD9" w:rsidRPr="00BC3FE9">
        <w:rPr>
          <w:rFonts w:ascii="Times New Roman" w:hAnsi="Times New Roman" w:cs="Times New Roman"/>
          <w:sz w:val="24"/>
          <w:szCs w:val="24"/>
        </w:rPr>
        <w:t xml:space="preserve">, </w:t>
      </w:r>
      <w:r w:rsidR="00177BD9" w:rsidRPr="00BC3FE9">
        <w:rPr>
          <w:rFonts w:ascii="Times New Roman" w:hAnsi="Times New Roman" w:cs="Times New Roman"/>
          <w:sz w:val="24"/>
          <w:szCs w:val="24"/>
        </w:rPr>
        <w:fldChar w:fldCharType="begin" w:fldLock="1"/>
      </w:r>
      <w:r w:rsidR="00177BD9" w:rsidRPr="00BC3FE9">
        <w:rPr>
          <w:rFonts w:ascii="Times New Roman" w:hAnsi="Times New Roman" w:cs="Times New Roman"/>
          <w:sz w:val="24"/>
          <w:szCs w:val="24"/>
        </w:rPr>
        <w:instrText>ADDIN CSL_CITATION {"citationItems":[{"id":"ITEM-1","itemData":{"abstract":"The eel commodities have a competitive advantage that is a great opportunity to compete internationally. However, the crucial problems dominate the development efforts of eel culture technology. Limitation data and information related to the availability of glass eel in nature, the technology of the first nursery to produce elver is a crucial problem that can not be overcome. Besides, the quality of the eel cultivation result does not meet with standard consumers. Trading glass eel illegally for export also accelerate the drain of natural resources. International, national, and county-level regulation in connection with the management and utilization of the eel has been formalized. But the regulatory implementation of both central and regional government is still not optimal. The SWOT analysis result showed some strategies that can be combined to manage eel culture. The short-term policy recommendation option suggested from the study this result is : 1). The improvement of efficiency of eel culture technologies needs to be optimized through integrated research; 2). The urgencyofinnovation ofeel reproductive technology is important to start immediately by the National Research Institute; 3). The pattern of a core partnership between private companies and small-scale cultivator needs to be facilitated; 4). The competitive advantage ofeel in frozen form can be improved as a mainstay export commodity.","author":[{"dropping-particle":"","family":"Hadie","given":"Lies Emmawati","non-dropping-particle":"","parse-names":false,"suffix":""},{"dropping-particle":"","family":"Kusnendar","given":"Endhay","non-dropping-particle":"","parse-names":false,"suffix":""},{"dropping-particle":"","family":"Kusdiarti","given":"","non-dropping-particle":"","parse-names":false,"suffix":""}],"container-title":"Jurnal Kebijakan Perikanan Indonesia","id":"ITEM-1","issue":"2","issued":{"date-parts":[["2021"]]},"page":"71-84","title":"Kajian dan Implikasi Kebijakan Pengelolaan Budidaya Ikan Sidat (Anguilla bicolor)","type":"article-journal","volume":"13"},"uris":["http://www.mendeley.com/documents/?uuid=180ee075-0539-43c4-9c40-ff9b236b2370"]}],"mendeley":{"formattedCitation":"(Hadie et al., 2021)","plainTextFormattedCitation":"(Hadie et al., 2021)","previouslyFormattedCitation":"(Hadie et al., 2021)"},"properties":{"noteIndex":0},"schema":"https://github.com/citation-style-language/schema/raw/master/csl-citation.json"}</w:instrText>
      </w:r>
      <w:r w:rsidR="00177BD9" w:rsidRPr="00BC3FE9">
        <w:rPr>
          <w:rFonts w:ascii="Times New Roman" w:hAnsi="Times New Roman" w:cs="Times New Roman"/>
          <w:sz w:val="24"/>
          <w:szCs w:val="24"/>
        </w:rPr>
        <w:fldChar w:fldCharType="separate"/>
      </w:r>
      <w:r w:rsidR="00177BD9" w:rsidRPr="00BC3FE9">
        <w:rPr>
          <w:rFonts w:ascii="Times New Roman" w:hAnsi="Times New Roman" w:cs="Times New Roman"/>
          <w:noProof/>
          <w:sz w:val="24"/>
          <w:szCs w:val="24"/>
        </w:rPr>
        <w:t>(Hadie et al., 2021)</w:t>
      </w:r>
      <w:r w:rsidR="00177BD9" w:rsidRPr="00BC3FE9">
        <w:rPr>
          <w:rFonts w:ascii="Times New Roman" w:hAnsi="Times New Roman" w:cs="Times New Roman"/>
          <w:sz w:val="24"/>
          <w:szCs w:val="24"/>
        </w:rPr>
        <w:fldChar w:fldCharType="end"/>
      </w:r>
      <w:r w:rsidR="00177BD9" w:rsidRPr="00BC3FE9">
        <w:rPr>
          <w:rFonts w:ascii="Times New Roman" w:hAnsi="Times New Roman" w:cs="Times New Roman"/>
          <w:sz w:val="24"/>
          <w:szCs w:val="24"/>
        </w:rPr>
        <w:t xml:space="preserve">, </w:t>
      </w:r>
      <w:r w:rsidR="00177BD9" w:rsidRPr="00BC3FE9">
        <w:rPr>
          <w:rFonts w:ascii="Times New Roman" w:hAnsi="Times New Roman" w:cs="Times New Roman"/>
          <w:sz w:val="24"/>
          <w:szCs w:val="24"/>
        </w:rPr>
        <w:fldChar w:fldCharType="begin" w:fldLock="1"/>
      </w:r>
      <w:r w:rsidR="00177BD9" w:rsidRPr="00BC3FE9">
        <w:rPr>
          <w:rFonts w:ascii="Times New Roman" w:hAnsi="Times New Roman" w:cs="Times New Roman"/>
          <w:sz w:val="24"/>
          <w:szCs w:val="24"/>
        </w:rPr>
        <w:instrText>ADDIN CSL_CITATION {"citationItems":[{"id":"ITEM-1","itemData":{"DOI":"10.15578/jkpi.9.1.2017.11-20","ISSN":"1979-6366","abstract":"Pengelolaan perikanan di Indonesia saat ini belum sepenuhnya mampu mengatasi motivasi perlombaan menangkap ikan. Kondisi yang dikenal sebagai open access ini, perlu segera diatasi untuk mencegah berlanjutnya tangkap lebih. Artikel ini bertujuan untuk menjelaskan konsep Hak Pengelolaan Perikanan (HPP), yang berpotensi diterapkan sebagai alat pengelolaan perikanan termasuk yang berada dekat pantai di Indonesia untuk mengatasi masalah perikanan open access. Metoda qualitative content analysis yang ditriangulasi melalui diskusi kelompok terfokus melibatkan para ahli, pengambil keputusan dan praktisi, digunakan untuk menjelaskan konsep HPP di Indonesia. Hasilnya menunjukkan bahwa pendekatan pengelolaan HPP melegitimasi entitas pemegang HPP mengamankan kesempatannya menangkap ikan secara ekslusif dengan mencegah pihak lain mengeksploitasi sumber daya ikan secara berlebihan. Pembelajaran dari negara lain menunjukkan bahwa HPP yang diintegrasikan kedalam kerangka rencana pengelolaan perikanan, bisa mengatasi permasalahan perikanan open access, karena mampu meredam motivasi dan tindakan nelayan dalam melakukan perlombaan menangkap ikan. Penggunaan ilmu pengetahuan kontemporer dan kearifan lokal dalam menentukan batasan tangkapan lestari dibarengi dengan upaya pemantauan dan penegakan aturan menentukan keberhasilan penerapannya. Terlihat juga bahwa praktek tradisional seperti Sasi di Maluku yang dimungkinkan oleh adanya pengakuan hak ulayat ‘petuanan laut’ merupakan konsep pemanfaatan sumber daya alam secara eksklusif yang selaras dengan esensi dari HPP. Direkomendasikan agar model pengelolaan berbasis HPP ini dilegitimasi kedalam peraturan perundang-undangan, termasuk Undang-Undang Perikanan Republik Indonesia. The existing management measures of Indonesian fisheries has not yet successfully resolved the overfishing. Fishers are still motivated to race for fish resources as typically occurs in an open access fisheries. This circumstance must be addressed immediately to prevent fisheries collapse. This research aims to describe a concept of Fisheries Management Rights (FMRs) as a management tool. This concept is potentially applicable in Indonesia, especially for near-shore fisheries. A qualitative content analysis method, triangulated through focus group discussions that involved experts, decision makers and practitioners was used to describe FMRs concept. The results indicated that this approach legitimizes the entities of the right holders to secure their expl…","author":[{"dropping-particle":"","family":"Halim","given":"Abdul","non-dropping-particle":"","parse-names":false,"suffix":""},{"dropping-particle":"","family":"Wiryawan","given":"Budy","non-dropping-particle":"","parse-names":false,"suffix":""},{"dropping-particle":"","family":"Loneragan","given":"Neil R","non-dropping-particle":"","parse-names":false,"suffix":""},{"dropping-particle":"","family":"Sondita","given":"M. Fedi A","non-dropping-particle":"","parse-names":false,"suffix":""},{"dropping-particle":"","family":"Hordyk","given":"Adrian","non-dropping-particle":"","parse-names":false,"suffix":""},{"dropping-particle":"","family":"Adhuri","given":"Dedi S","non-dropping-particle":"","parse-names":false,"suffix":""},{"dropping-particle":"","family":"Adi","given":"Tukul R","non-dropping-particle":"","parse-names":false,"suffix":""},{"dropping-particle":"","family":"Adrianto","given":"Luky","non-dropping-particle":"","parse-names":false,"suffix":""}],"container-title":"Jurnal Kebijakan Perikanan Indonesia","id":"ITEM-1","issue":"1","issued":{"date-parts":[["2017"]]},"page":"11","title":"Konsep Hak Pengelolaan Perikanan Sebagai Alat Pengelolaan Perikanan Berkelanjutan Di Indonesia","type":"article-journal","volume":"9"},"uris":["http://www.mendeley.com/documents/?uuid=4d9b9a24-b256-4b66-95bf-3f7846409b4c"]}],"mendeley":{"formattedCitation":"(Halim et al., 2017)","plainTextFormattedCitation":"(Halim et al., 2017)","previouslyFormattedCitation":"(Halim et al., 2017)"},"properties":{"noteIndex":0},"schema":"https://github.com/citation-style-language/schema/raw/master/csl-citation.json"}</w:instrText>
      </w:r>
      <w:r w:rsidR="00177BD9" w:rsidRPr="00BC3FE9">
        <w:rPr>
          <w:rFonts w:ascii="Times New Roman" w:hAnsi="Times New Roman" w:cs="Times New Roman"/>
          <w:sz w:val="24"/>
          <w:szCs w:val="24"/>
        </w:rPr>
        <w:fldChar w:fldCharType="separate"/>
      </w:r>
      <w:r w:rsidR="00177BD9" w:rsidRPr="00BC3FE9">
        <w:rPr>
          <w:rFonts w:ascii="Times New Roman" w:hAnsi="Times New Roman" w:cs="Times New Roman"/>
          <w:noProof/>
          <w:sz w:val="24"/>
          <w:szCs w:val="24"/>
        </w:rPr>
        <w:t>(Halim et al., 2017)</w:t>
      </w:r>
      <w:r w:rsidR="00177BD9" w:rsidRPr="00BC3FE9">
        <w:rPr>
          <w:rFonts w:ascii="Times New Roman" w:hAnsi="Times New Roman" w:cs="Times New Roman"/>
          <w:sz w:val="24"/>
          <w:szCs w:val="24"/>
        </w:rPr>
        <w:fldChar w:fldCharType="end"/>
      </w:r>
      <w:r w:rsidR="00177BD9" w:rsidRPr="00BC3FE9">
        <w:rPr>
          <w:rFonts w:ascii="Times New Roman" w:hAnsi="Times New Roman" w:cs="Times New Roman"/>
          <w:sz w:val="24"/>
          <w:szCs w:val="24"/>
        </w:rPr>
        <w:t>.</w:t>
      </w:r>
    </w:p>
    <w:p w14:paraId="460B8B90" w14:textId="6DE4227A" w:rsidR="00337E26" w:rsidRPr="00BC3FE9" w:rsidRDefault="00B8121C" w:rsidP="00337E26">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Pengetahuan dan nilai-nilai dari leluhur yang diwariskan secara turun-temurun melalui proses yang panjang menjadikan kearifan lokal sebagai sumber energi potensial untuk menjadi pegangan hidup dalam pembangunan ke depan </w:t>
      </w:r>
      <w:r w:rsidRPr="00BC3FE9">
        <w:rPr>
          <w:rFonts w:ascii="Times New Roman" w:hAnsi="Times New Roman" w:cs="Times New Roman"/>
          <w:sz w:val="24"/>
          <w:szCs w:val="24"/>
        </w:rPr>
        <w:fldChar w:fldCharType="begin" w:fldLock="1"/>
      </w:r>
      <w:r w:rsidR="00FD6CFA" w:rsidRPr="00BC3FE9">
        <w:rPr>
          <w:rFonts w:ascii="Times New Roman" w:hAnsi="Times New Roman" w:cs="Times New Roman"/>
          <w:sz w:val="24"/>
          <w:szCs w:val="24"/>
        </w:rPr>
        <w:instrText>ADDIN CSL_CITATION {"citationItems":[{"id":"ITEM-1","itemData":{"abstract":"Kearifan lokal merupakan pengetahuan yang mengandung nilai-nilai luhur dan dipedomani, diterapkan dan ditaati oleh masyarakat secara turun-temurun dan telah terbukti berhasil dalam pengelolaan sumber daya pesisir dan laut, sehingga masih sangat relevan digali dan diadopsi dalam sistem pengelolaan modern yang seringkali tidak dapat menjawab tujuan dari pengelolaan tersebut. Tujuan penelitian ini adalah untuk menggali sistem kearifan lokal di Kampung Muris Besar, guna mendukung pengelolaan sumber daya pesisir dan laut berkelanjutan sebagai model pengelolaan. Penelitian ini menggunakan tiga metode pendekatan, yakni studi literatur, survei, dan wawancara mendalam. Berdasarkan hasil penelitian, didapatkan bahwa sistem kearifan lokal Dabom memiliki nilai-nilai yang sangat tinggi terkait dengan pengelolaan sumber daya pesisir dan laut, yang masih dipegang teguh oleh masyarakat Kampung Muris Besar. Oleh karena itu, praktik Dabom tidak hanya menjadi model pengelolaan di kampung Muris guna mempertahankan sumber daya pesisir dan laut yang ada, tetapi juga telah menjaga eksistensi masyarakat Kampung Muris Besar sebagai Masyarakat Adat dalam mengelola sendiri sumber daya yang dimilikinya. Kata","author":[{"dropping-particle":"","family":"Paulangan","given":"Yunus Pajanjan","non-dropping-particle":"","parse-names":false,"suffix":""},{"dropping-particle":"","family":"Barapadang","given":"Barnabas","non-dropping-particle":"","parse-names":false,"suffix":""},{"dropping-particle":"","family":"Amin","given":"Arsyad","non-dropping-particle":"","parse-names":false,"suffix":""}],"container-title":"Jurnal Kebijakan Perikanan Indonesia","id":"ITEM-1","issue":"1","issued":{"date-parts":[["2021"]]},"page":"1-8","title":"Sistem Pengetahuan dan Kearifan Lokal “ Dabom ” di Kampung Muris , Distrik Demta Kabupaten Jayapura Papua","type":"article-journal","volume":"13"},"uris":["http://www.mendeley.com/documents/?uuid=75c23ff0-c65b-43d6-b066-881b9b4c129c"]}],"mendeley":{"formattedCitation":"(Paulangan et al., 2021)","plainTextFormattedCitation":"(Paulangan et al., 2021)","previouslyFormattedCitation":"(Paulangan et al., 2021)"},"properties":{"noteIndex":0},"schema":"https://github.com/citation-style-language/schema/raw/master/csl-citation.json"}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(Paulangan et al., 2021)</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w:t>
      </w:r>
      <w:r w:rsidR="00E229A7" w:rsidRPr="00BC3FE9">
        <w:rPr>
          <w:rFonts w:ascii="Times New Roman" w:hAnsi="Times New Roman" w:cs="Times New Roman"/>
          <w:sz w:val="24"/>
          <w:szCs w:val="24"/>
        </w:rPr>
        <w:t>M</w:t>
      </w:r>
      <w:r w:rsidR="00F2739A" w:rsidRPr="00BC3FE9">
        <w:rPr>
          <w:rFonts w:ascii="Times New Roman" w:hAnsi="Times New Roman" w:cs="Times New Roman"/>
          <w:sz w:val="24"/>
          <w:szCs w:val="24"/>
        </w:rPr>
        <w:t>empertahankan dan mempromosikan kearifan lokal di pedesaan terletak pada kemampuannya untuk memastikan keberlanjutan lingkungan, kehidupan masyarakat, dan keberagaman budaya. Selain itu, kearifan lokal juga dapat memberikan nilai ekonomi dan identitas yang kuat bagi masyarakat pedesaan, serta menjadi sumber inspirasi untuk inovasi dan pengembangan berkelanjutan di masa depan.</w:t>
      </w:r>
      <w:r w:rsidR="00337E26" w:rsidRPr="00BC3FE9">
        <w:rPr>
          <w:rFonts w:ascii="Times New Roman" w:hAnsi="Times New Roman" w:cs="Times New Roman"/>
          <w:sz w:val="24"/>
          <w:szCs w:val="24"/>
        </w:rPr>
        <w:t xml:space="preserve"> </w:t>
      </w:r>
      <w:r w:rsidR="00EC2612" w:rsidRPr="00BC3FE9">
        <w:rPr>
          <w:rFonts w:ascii="Times New Roman" w:hAnsi="Times New Roman" w:cs="Times New Roman"/>
          <w:sz w:val="24"/>
          <w:szCs w:val="24"/>
        </w:rPr>
        <w:t xml:space="preserve">Tujuan Pembangunan Berkelanjutan (SDGs) didefinisikan sebagai tujuan pembangunan yang memastikan peningkatan kesejahteraan ekonomi masyarakat, keberlanjutan kehidupan sosial, kualitas lingkungan hidup, serta keadilan dan tata kelola pemerintahan yang baik </w:t>
      </w:r>
      <w:r w:rsidR="00EC2612" w:rsidRPr="00BC3FE9">
        <w:rPr>
          <w:rFonts w:ascii="Times New Roman" w:hAnsi="Times New Roman" w:cs="Times New Roman"/>
          <w:sz w:val="24"/>
          <w:szCs w:val="24"/>
        </w:rPr>
        <w:fldChar w:fldCharType="begin" w:fldLock="1"/>
      </w:r>
      <w:r w:rsidR="00EC2612" w:rsidRPr="00BC3FE9">
        <w:rPr>
          <w:rFonts w:ascii="Times New Roman" w:hAnsi="Times New Roman" w:cs="Times New Roman"/>
          <w:sz w:val="24"/>
          <w:szCs w:val="24"/>
        </w:rPr>
        <w:instrText>ADDIN CSL_CITATION {"citationItems":[{"id":"ITEM-1","itemData":{"DOI":"10.2991/assehr.k.211227.030","author":[{"dropping-particle":"","family":"Hidayat","given":"Bachtari Alam","non-dropping-particle":"","parse-names":false,"suffix":""},{"dropping-particle":"","family":"Yuliana","given":"Evi","non-dropping-particle":"","parse-names":false,"suffix":""},{"dropping-particle":"","family":"Wicaksono","given":"Baskoro","non-dropping-particle":"","parse-names":false,"suffix":""},{"dropping-particle":"","family":"Matara","given":"Kusmawaty","non-dropping-particle":"","parse-names":false,"suffix":""},{"dropping-particle":"","family":"Afriyanni","given":"","non-dropping-particle":"","parse-names":false,"suffix":""},{"dropping-particle":"","family":"Wulandari","given":"Sekar Nur","non-dropping-particle":"","parse-names":false,"suffix":""},{"dropping-particle":"","family":"Amri","given":"Nanda Hasanul","non-dropping-particle":"","parse-names":false,"suffix":""},{"dropping-particle":"","family":"Saksono","given":"Herie","non-dropping-particle":"","parse-names":false,"suffix":""}],"container-title":"Proceedings of the International Conference on Sustainable Innovation Track Humanities Education and Social Sciences (ICSIHESS 2021)","id":"ITEM-1","issue":"Icsihess","issued":{"date-parts":[["2022"]]},"page":"182-186","title":"Objectives of Sustainable Development and Analysis of People’s Economy Improvement","type":"article-journal","volume":"626"},"uris":["http://www.mendeley.com/documents/?uuid=6c253e2a-4840-4ab6-a58a-f7c9ccc5ede9"]}],"mendeley":{"formattedCitation":"(B. A. Hidayat et al., 2022)","plainTextFormattedCitation":"(B. A. Hidayat et al., 2022)","previouslyFormattedCitation":"(B. A. Hidayat et al., 2022)"},"properties":{"noteIndex":0},"schema":"https://github.com/citation-style-language/schema/raw/master/csl-citation.json"}</w:instrText>
      </w:r>
      <w:r w:rsidR="00EC2612" w:rsidRPr="00BC3FE9">
        <w:rPr>
          <w:rFonts w:ascii="Times New Roman" w:hAnsi="Times New Roman" w:cs="Times New Roman"/>
          <w:sz w:val="24"/>
          <w:szCs w:val="24"/>
        </w:rPr>
        <w:fldChar w:fldCharType="separate"/>
      </w:r>
      <w:r w:rsidR="00EC2612" w:rsidRPr="00BC3FE9">
        <w:rPr>
          <w:rFonts w:ascii="Times New Roman" w:hAnsi="Times New Roman" w:cs="Times New Roman"/>
          <w:noProof/>
          <w:sz w:val="24"/>
          <w:szCs w:val="24"/>
        </w:rPr>
        <w:t>(B. A. Hidayat et al., 2022)</w:t>
      </w:r>
      <w:r w:rsidR="00EC2612" w:rsidRPr="00BC3FE9">
        <w:rPr>
          <w:rFonts w:ascii="Times New Roman" w:hAnsi="Times New Roman" w:cs="Times New Roman"/>
          <w:sz w:val="24"/>
          <w:szCs w:val="24"/>
        </w:rPr>
        <w:fldChar w:fldCharType="end"/>
      </w:r>
      <w:r w:rsidR="00EC2612" w:rsidRPr="00BC3FE9">
        <w:rPr>
          <w:rFonts w:ascii="Times New Roman" w:hAnsi="Times New Roman" w:cs="Times New Roman"/>
          <w:sz w:val="24"/>
          <w:szCs w:val="24"/>
        </w:rPr>
        <w:t>.</w:t>
      </w:r>
    </w:p>
    <w:p w14:paraId="6EC78ACA" w14:textId="6ECDF25B" w:rsidR="00E00925" w:rsidRPr="00BC3FE9" w:rsidRDefault="00583FF1" w:rsidP="00E0092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Sumber daya alam memiliki potensi menjadi sumber pengembangan kearifan lokal </w:t>
      </w:r>
      <w:r w:rsidRPr="00BC3FE9">
        <w:rPr>
          <w:rFonts w:ascii="Times New Roman" w:hAnsi="Times New Roman" w:cs="Times New Roman"/>
          <w:sz w:val="24"/>
          <w:szCs w:val="24"/>
        </w:rPr>
        <w:fldChar w:fldCharType="begin" w:fldLock="1"/>
      </w:r>
      <w:r w:rsidR="00AD0452" w:rsidRPr="00BC3FE9">
        <w:rPr>
          <w:rFonts w:ascii="Times New Roman" w:hAnsi="Times New Roman" w:cs="Times New Roman"/>
          <w:sz w:val="24"/>
          <w:szCs w:val="24"/>
        </w:rPr>
        <w:instrText>ADDIN CSL_CITATION {"citationItems":[{"id":"ITEM-1","itemData":{"abstract":"Natural resources are environmental components that include biological and non-biological resources that work together to produce an ecosystem. Rivers are one of the natural resources that sustain life. Musi River is a 750-kilometer-long river in the Indonesian state of South …","author":[{"dropping-particle":"","family":"Yuliana","given":"E","non-dropping-particle":"","parse-names":false,"suffix":""},{"dropping-particle":"","family":"Yusuf","given":"M","non-dropping-particle":"","parse-names":false,"suffix":""},{"dropping-particle":"","family":"Nirmalasari","given":"TN","non-dropping-particle":"","parse-names":false,"suffix":""},{"dropping-particle":"","family":"Amri","given":"N H","non-dropping-particle":"","parse-names":false,"suffix":""},{"dropping-particle":"","family":"Hidayat","given":"B A","non-dropping-particle":"","parse-names":false,"suffix":""}],"container-title":"Budapest International Research and Critics Institute (BIRCI-Journal): Humanities and Social Sciences","id":"ITEM-1","issue":"4","issued":{"date-parts":[["2021"]]},"page":"8248-8254","title":"Natural Resources and Environment Management for the Development of Local Wisdom","type":"article-journal","volume":"4"},"uris":["http://www.mendeley.com/documents/?uuid=a9864a59-9937-49a2-a4cc-da48188f185b"]}],"mendeley":{"formattedCitation":"(Yuliana et al., 2021)","plainTextFormattedCitation":"(Yuliana et al., 2021)","previouslyFormattedCitation":"(Yuliana et al., 2021)"},"properties":{"noteIndex":0},"schema":"https://github.com/citation-style-language/schema/raw/master/csl-citation.json"}</w:instrText>
      </w:r>
      <w:r w:rsidRPr="00BC3FE9">
        <w:rPr>
          <w:rFonts w:ascii="Times New Roman" w:hAnsi="Times New Roman" w:cs="Times New Roman"/>
          <w:sz w:val="24"/>
          <w:szCs w:val="24"/>
        </w:rPr>
        <w:fldChar w:fldCharType="separate"/>
      </w:r>
      <w:r w:rsidR="00531A7E" w:rsidRPr="00BC3FE9">
        <w:rPr>
          <w:rFonts w:ascii="Times New Roman" w:hAnsi="Times New Roman" w:cs="Times New Roman"/>
          <w:noProof/>
          <w:sz w:val="24"/>
          <w:szCs w:val="24"/>
        </w:rPr>
        <w:t>(Yuliana et al., 2021)</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Salah satunya ikan merupakan bahan pangan </w:t>
      </w:r>
      <w:r w:rsidRPr="00BC3FE9">
        <w:rPr>
          <w:rFonts w:ascii="Times New Roman" w:hAnsi="Times New Roman" w:cs="Times New Roman"/>
          <w:sz w:val="24"/>
          <w:szCs w:val="24"/>
        </w:rPr>
        <w:lastRenderedPageBreak/>
        <w:t xml:space="preserve">yang mudah rusak atau membusuk, dalam waktu delapan jam setelah ikan ditangkap dan didaratkan akan timbul proses perubahan yang mengarah pada pembusukan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{"citationItems":[{"id":"ITEM-1","itemData":{"author":[{"dropping-particle":"","family":"Sirait","given":"Jantri","non-dropping-particle":"","parse-names":false,"suffix":""},{"dropping-particle":"","family":"Hadi Saputra","given":"Suroto","non-dropping-particle":"","parse-names":false,"suffix":""}],"container-title":"Jurnal Riset Teknologi Industri","id":"ITEM-1","issue":"1","issued":{"date-parts":[["2020"]]},"page":"220-229","title":"Teknologi Alat Pengasapan Ikan dan Mutu Ikan Asap","type":"article-journal"},"uris":["http://www.mendeley.com/documents/?uuid=7a3d5ebe-c790-4a9b-ae44-84ff44ea908e"]}],"mendeley":{"formattedCitation":"(Sirait &amp; Hadi Saputra, 2020)","plainTextFormattedCitation":"(Sirait &amp; Hadi Saputra, 2020)","previouslyFormattedCitation":"(Sirait &amp; Hadi Saputra, 2020)"},"properties":{"noteIndex":0},"schema":"https://github.com/citation-style-language/schema/raw/master/csl-citation.json"}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(Sirait &amp; Hadi Saputra, 2020)</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w:t>
      </w:r>
      <w:r w:rsidR="00E00925" w:rsidRPr="00BC3FE9">
        <w:rPr>
          <w:rFonts w:ascii="Times New Roman" w:hAnsi="Times New Roman" w:cs="Times New Roman"/>
          <w:sz w:val="24"/>
          <w:szCs w:val="24"/>
        </w:rPr>
        <w:t xml:space="preserve">Oleh karena itu, penting bagi pemerintah dan stakeholder terkait untuk mengimplementasikan kebijakan yang berkelanjutan dalam mengelola </w:t>
      </w:r>
      <w:r w:rsidR="00064B51" w:rsidRPr="00BC3FE9">
        <w:rPr>
          <w:rFonts w:ascii="Times New Roman" w:hAnsi="Times New Roman" w:cs="Times New Roman"/>
          <w:sz w:val="24"/>
          <w:szCs w:val="24"/>
        </w:rPr>
        <w:t xml:space="preserve">hasil </w:t>
      </w:r>
      <w:r w:rsidR="00E00925" w:rsidRPr="00BC3FE9">
        <w:rPr>
          <w:rFonts w:ascii="Times New Roman" w:hAnsi="Times New Roman" w:cs="Times New Roman"/>
          <w:sz w:val="24"/>
          <w:szCs w:val="24"/>
        </w:rPr>
        <w:t>sumberdaya perikanan, dan meningkatkan kesejahteraan masyarakat perikanan di pedesaan.</w:t>
      </w:r>
    </w:p>
    <w:p w14:paraId="0C72D745" w14:textId="291A7BB9" w:rsidR="003A3874" w:rsidRPr="00BC3FE9" w:rsidRDefault="00F2739A" w:rsidP="005C6759">
      <w:pPr>
        <w:autoSpaceDE w:val="0"/>
        <w:autoSpaceDN w:val="0"/>
        <w:adjustRightInd w:val="0"/>
        <w:spacing w:after="0" w:line="480" w:lineRule="auto"/>
        <w:ind w:firstLine="720"/>
        <w:jc w:val="both"/>
        <w:rPr>
          <w:rFonts w:ascii="Times New Roman" w:hAnsi="Times New Roman" w:cs="Times New Roman"/>
          <w:sz w:val="24"/>
        </w:rPr>
      </w:pPr>
      <w:r w:rsidRPr="00BC3FE9">
        <w:rPr>
          <w:rFonts w:ascii="Times New Roman" w:hAnsi="Times New Roman" w:cs="Times New Roman"/>
          <w:sz w:val="24"/>
          <w:szCs w:val="24"/>
        </w:rPr>
        <w:t xml:space="preserve">Segelurung adalah sebuah tradisi </w:t>
      </w:r>
      <w:r w:rsidR="001F2548" w:rsidRPr="00BC3FE9">
        <w:rPr>
          <w:rFonts w:ascii="Times New Roman" w:hAnsi="Times New Roman" w:cs="Times New Roman"/>
          <w:sz w:val="24"/>
          <w:szCs w:val="24"/>
        </w:rPr>
        <w:t xml:space="preserve">turun-temurun </w:t>
      </w:r>
      <w:r w:rsidRPr="00BC3FE9">
        <w:rPr>
          <w:rFonts w:ascii="Times New Roman" w:hAnsi="Times New Roman" w:cs="Times New Roman"/>
          <w:sz w:val="24"/>
          <w:szCs w:val="24"/>
        </w:rPr>
        <w:t xml:space="preserve">yang dilakukan oleh masyarakat pedesaan di </w:t>
      </w:r>
      <w:r w:rsidR="00603931" w:rsidRPr="00BC3FE9">
        <w:rPr>
          <w:rFonts w:ascii="Times New Roman" w:hAnsi="Times New Roman" w:cs="Times New Roman"/>
          <w:sz w:val="24"/>
          <w:szCs w:val="24"/>
        </w:rPr>
        <w:t>Kabupaten</w:t>
      </w:r>
      <w:r w:rsidR="001F2548" w:rsidRPr="00BC3FE9">
        <w:rPr>
          <w:rFonts w:ascii="Times New Roman" w:hAnsi="Times New Roman" w:cs="Times New Roman"/>
          <w:sz w:val="24"/>
          <w:szCs w:val="24"/>
        </w:rPr>
        <w:t xml:space="preserve"> Penukal Abab Lematang Timur</w:t>
      </w:r>
      <w:r w:rsidR="00603931" w:rsidRPr="00BC3FE9">
        <w:rPr>
          <w:rFonts w:ascii="Times New Roman" w:hAnsi="Times New Roman" w:cs="Times New Roman"/>
          <w:sz w:val="24"/>
          <w:szCs w:val="24"/>
        </w:rPr>
        <w:t xml:space="preserve"> </w:t>
      </w:r>
      <w:r w:rsidR="001F2548" w:rsidRPr="00BC3FE9">
        <w:rPr>
          <w:rFonts w:ascii="Times New Roman" w:hAnsi="Times New Roman" w:cs="Times New Roman"/>
          <w:sz w:val="24"/>
          <w:szCs w:val="24"/>
        </w:rPr>
        <w:t>(</w:t>
      </w:r>
      <w:r w:rsidR="00603931" w:rsidRPr="00BC3FE9">
        <w:rPr>
          <w:rFonts w:ascii="Times New Roman" w:hAnsi="Times New Roman" w:cs="Times New Roman"/>
          <w:sz w:val="24"/>
          <w:szCs w:val="24"/>
        </w:rPr>
        <w:t>P</w:t>
      </w:r>
      <w:r w:rsidR="001F2548" w:rsidRPr="00BC3FE9">
        <w:rPr>
          <w:rFonts w:ascii="Times New Roman" w:hAnsi="Times New Roman" w:cs="Times New Roman"/>
          <w:sz w:val="24"/>
          <w:szCs w:val="24"/>
        </w:rPr>
        <w:t>ALI)</w:t>
      </w:r>
      <w:r w:rsidR="00603931" w:rsidRPr="00BC3FE9">
        <w:rPr>
          <w:rFonts w:ascii="Times New Roman" w:hAnsi="Times New Roman" w:cs="Times New Roman"/>
          <w:sz w:val="24"/>
          <w:szCs w:val="24"/>
        </w:rPr>
        <w:t xml:space="preserve">, Sumatera Selatan, </w:t>
      </w:r>
      <w:r w:rsidRPr="00BC3FE9">
        <w:rPr>
          <w:rFonts w:ascii="Times New Roman" w:hAnsi="Times New Roman" w:cs="Times New Roman"/>
          <w:sz w:val="24"/>
          <w:szCs w:val="24"/>
        </w:rPr>
        <w:t>Indonesia. Segelurung menjadi salah satu bentuk kearifan lokal yang masih dilestarikan oleh masyarakat pedesaan</w:t>
      </w:r>
      <w:r w:rsidR="001F2548" w:rsidRPr="00BC3FE9">
        <w:rPr>
          <w:rFonts w:ascii="Times New Roman" w:hAnsi="Times New Roman" w:cs="Times New Roman"/>
          <w:sz w:val="24"/>
          <w:szCs w:val="24"/>
        </w:rPr>
        <w:t xml:space="preserve"> mengenai </w:t>
      </w:r>
      <w:r w:rsidR="003E14CD" w:rsidRPr="00BC3FE9">
        <w:rPr>
          <w:rFonts w:ascii="Times New Roman" w:hAnsi="Times New Roman" w:cs="Times New Roman"/>
          <w:sz w:val="24"/>
          <w:szCs w:val="24"/>
        </w:rPr>
        <w:t xml:space="preserve">cara tradisional mengawetkan ikan air tawar dengan </w:t>
      </w:r>
      <w:r w:rsidR="00603931" w:rsidRPr="00BC3FE9">
        <w:rPr>
          <w:rFonts w:ascii="Times New Roman" w:hAnsi="Times New Roman" w:cs="Times New Roman"/>
          <w:sz w:val="24"/>
          <w:szCs w:val="24"/>
        </w:rPr>
        <w:t>pengasapan</w:t>
      </w:r>
      <w:r w:rsidR="003E14CD" w:rsidRPr="00BC3FE9">
        <w:rPr>
          <w:rFonts w:ascii="Times New Roman" w:hAnsi="Times New Roman" w:cs="Times New Roman"/>
          <w:sz w:val="24"/>
          <w:szCs w:val="24"/>
        </w:rPr>
        <w:t>.</w:t>
      </w:r>
      <w:r w:rsidR="00603931" w:rsidRPr="00BC3FE9">
        <w:rPr>
          <w:rFonts w:ascii="Times New Roman" w:hAnsi="Times New Roman" w:cs="Times New Roman"/>
          <w:sz w:val="24"/>
          <w:szCs w:val="24"/>
        </w:rPr>
        <w:t xml:space="preserve"> </w:t>
      </w:r>
      <w:r w:rsidR="003E14CD" w:rsidRPr="00BC3FE9">
        <w:rPr>
          <w:rFonts w:ascii="Times New Roman" w:hAnsi="Times New Roman" w:cs="Times New Roman"/>
          <w:sz w:val="24"/>
          <w:szCs w:val="24"/>
        </w:rPr>
        <w:t xml:space="preserve">Asal dan sejarah metode ini tidak terdokumentasi dengan baik, tetapi diyakini telah digunakan oleh </w:t>
      </w:r>
      <w:r w:rsidR="00111C27" w:rsidRPr="00BC3FE9">
        <w:rPr>
          <w:rFonts w:ascii="Times New Roman" w:hAnsi="Times New Roman" w:cs="Times New Roman"/>
          <w:sz w:val="24"/>
          <w:szCs w:val="24"/>
        </w:rPr>
        <w:t>masyarakat</w:t>
      </w:r>
      <w:r w:rsidR="003E14CD" w:rsidRPr="00BC3FE9">
        <w:rPr>
          <w:rFonts w:ascii="Times New Roman" w:hAnsi="Times New Roman" w:cs="Times New Roman"/>
          <w:sz w:val="24"/>
          <w:szCs w:val="24"/>
        </w:rPr>
        <w:t xml:space="preserve"> setempat sebagai cara untuk mengawetkan hasil tangkapan mereka untuk jangka waktu yang lebih lama</w:t>
      </w:r>
      <w:r w:rsidR="00637CAF" w:rsidRPr="00BC3FE9">
        <w:rPr>
          <w:rFonts w:ascii="Times New Roman" w:hAnsi="Times New Roman" w:cs="Times New Roman"/>
          <w:sz w:val="24"/>
          <w:szCs w:val="24"/>
        </w:rPr>
        <w:t xml:space="preserve"> dan juga memotivasi agar masyarakat gemar makan ikan</w:t>
      </w:r>
      <w:r w:rsidR="003E14CD" w:rsidRPr="00BC3FE9">
        <w:rPr>
          <w:rFonts w:ascii="Times New Roman" w:hAnsi="Times New Roman" w:cs="Times New Roman"/>
          <w:sz w:val="24"/>
          <w:szCs w:val="24"/>
        </w:rPr>
        <w:t>. Seiring berjalannya waktu, cara tersebut telah menjadi bagian dari tradisi kuliner daerah dan masih digunakan hingga saat ini.</w:t>
      </w:r>
      <w:r w:rsidR="0093633B" w:rsidRPr="00BC3FE9">
        <w:rPr>
          <w:rFonts w:ascii="Times New Roman" w:hAnsi="Times New Roman" w:cs="Times New Roman"/>
          <w:sz w:val="24"/>
          <w:szCs w:val="24"/>
        </w:rPr>
        <w:t xml:space="preserve"> </w:t>
      </w:r>
      <w:r w:rsidR="00637CAF" w:rsidRPr="00BC3FE9">
        <w:rPr>
          <w:rFonts w:ascii="Times New Roman" w:hAnsi="Times New Roman" w:cs="Times New Roman"/>
          <w:sz w:val="24"/>
          <w:szCs w:val="24"/>
        </w:rPr>
        <w:t xml:space="preserve">Dalam hal ini, pengembangan inovasi dan penerapan kearifan lokal dalam sektor perikanan dapat menjadi salah satu solusi untuk mengatasi permasalahan </w:t>
      </w:r>
      <w:r w:rsidR="007B6BC7" w:rsidRPr="00BC3FE9">
        <w:rPr>
          <w:rFonts w:ascii="Times New Roman" w:hAnsi="Times New Roman" w:cs="Times New Roman"/>
          <w:sz w:val="24"/>
          <w:szCs w:val="24"/>
        </w:rPr>
        <w:t xml:space="preserve">gizi dan </w:t>
      </w:r>
      <w:r w:rsidR="003E22F1" w:rsidRPr="00BC3FE9">
        <w:rPr>
          <w:rFonts w:ascii="Times New Roman" w:hAnsi="Times New Roman" w:cs="Times New Roman"/>
          <w:sz w:val="24"/>
          <w:szCs w:val="24"/>
        </w:rPr>
        <w:t>pengawetan</w:t>
      </w:r>
      <w:r w:rsidR="007B6BC7" w:rsidRPr="00BC3FE9">
        <w:rPr>
          <w:rFonts w:ascii="Times New Roman" w:hAnsi="Times New Roman" w:cs="Times New Roman"/>
          <w:sz w:val="24"/>
          <w:szCs w:val="24"/>
        </w:rPr>
        <w:t xml:space="preserve"> ikan</w:t>
      </w:r>
      <w:r w:rsidR="00ED56EF">
        <w:rPr>
          <w:rFonts w:ascii="Times New Roman" w:hAnsi="Times New Roman" w:cs="Times New Roman"/>
          <w:sz w:val="24"/>
          <w:szCs w:val="24"/>
          <w:lang w:val="en-US"/>
        </w:rPr>
        <w:t>.</w:t>
      </w:r>
      <w:r w:rsidR="00637CAF" w:rsidRPr="00BC3FE9">
        <w:rPr>
          <w:rFonts w:ascii="Times New Roman" w:hAnsi="Times New Roman" w:cs="Times New Roman"/>
          <w:sz w:val="24"/>
          <w:szCs w:val="24"/>
        </w:rPr>
        <w:t xml:space="preserve"> </w:t>
      </w:r>
      <w:r w:rsidR="00132FC2" w:rsidRPr="00BC3FE9">
        <w:rPr>
          <w:rFonts w:ascii="Times New Roman" w:hAnsi="Times New Roman" w:cs="Times New Roman"/>
          <w:sz w:val="24"/>
          <w:szCs w:val="24"/>
        </w:rPr>
        <w:t>M</w:t>
      </w:r>
      <w:r w:rsidR="00A51331" w:rsidRPr="00BC3FE9">
        <w:rPr>
          <w:rFonts w:ascii="Times New Roman" w:hAnsi="Times New Roman" w:cs="Times New Roman"/>
          <w:sz w:val="24"/>
          <w:szCs w:val="24"/>
        </w:rPr>
        <w:t xml:space="preserve">aka </w:t>
      </w:r>
      <w:r w:rsidR="008A4F53" w:rsidRPr="00BC3FE9">
        <w:rPr>
          <w:rFonts w:ascii="Times New Roman" w:hAnsi="Times New Roman" w:cs="Times New Roman"/>
          <w:sz w:val="24"/>
          <w:szCs w:val="24"/>
        </w:rPr>
        <w:t xml:space="preserve">dari penelitian ini </w:t>
      </w:r>
      <w:r w:rsidR="00E6720E" w:rsidRPr="00BC3FE9">
        <w:rPr>
          <w:rFonts w:ascii="Times New Roman" w:hAnsi="Times New Roman" w:cs="Times New Roman"/>
          <w:sz w:val="24"/>
        </w:rPr>
        <w:t xml:space="preserve">diharapkan segelurung sebagai produk kearifan lokal dapat menjadi sebuah inovasi untuk mendukung kebijakan ketahanan pangan </w:t>
      </w:r>
      <w:r w:rsidR="00B33F19" w:rsidRPr="00BC3FE9">
        <w:rPr>
          <w:rFonts w:ascii="Times New Roman" w:hAnsi="Times New Roman" w:cs="Times New Roman"/>
          <w:sz w:val="24"/>
        </w:rPr>
        <w:t>dan meningkatkan</w:t>
      </w:r>
      <w:r w:rsidR="00E6720E" w:rsidRPr="00BC3FE9">
        <w:rPr>
          <w:rFonts w:ascii="Times New Roman" w:hAnsi="Times New Roman" w:cs="Times New Roman"/>
          <w:sz w:val="24"/>
        </w:rPr>
        <w:t xml:space="preserve"> kesejahteraan</w:t>
      </w:r>
      <w:r w:rsidR="00EB4301" w:rsidRPr="00BC3FE9">
        <w:rPr>
          <w:rFonts w:ascii="Times New Roman" w:hAnsi="Times New Roman" w:cs="Times New Roman"/>
          <w:sz w:val="24"/>
        </w:rPr>
        <w:t xml:space="preserve"> masyarakat.</w:t>
      </w:r>
    </w:p>
    <w:p w14:paraId="391B92D8" w14:textId="50203334" w:rsidR="003E6A73" w:rsidRPr="00BC3FE9" w:rsidRDefault="003E6A73"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Penelitian ini menggunakan tiga pendekatan, yaitu studi literatur, survei, dan wawancara mendalam. Data dikumpulkan melalui wawancara mendalam </w:t>
      </w:r>
      <w:r w:rsidR="0083176E" w:rsidRPr="00BC3FE9">
        <w:rPr>
          <w:rFonts w:ascii="Times New Roman" w:hAnsi="Times New Roman" w:cs="Times New Roman"/>
          <w:sz w:val="24"/>
          <w:szCs w:val="24"/>
        </w:rPr>
        <w:t>kepada informan berjumlah</w:t>
      </w:r>
      <w:r w:rsidRPr="00BC3FE9">
        <w:rPr>
          <w:rFonts w:ascii="Times New Roman" w:hAnsi="Times New Roman" w:cs="Times New Roman"/>
          <w:sz w:val="24"/>
          <w:szCs w:val="24"/>
        </w:rPr>
        <w:t xml:space="preserve"> </w:t>
      </w:r>
      <w:r w:rsidR="0083176E" w:rsidRPr="00BC3FE9">
        <w:rPr>
          <w:rFonts w:ascii="Times New Roman" w:hAnsi="Times New Roman" w:cs="Times New Roman"/>
          <w:sz w:val="24"/>
          <w:szCs w:val="24"/>
        </w:rPr>
        <w:t xml:space="preserve">15 orang yang merupakan </w:t>
      </w:r>
      <w:r w:rsidRPr="00BC3FE9">
        <w:rPr>
          <w:rFonts w:ascii="Times New Roman" w:hAnsi="Times New Roman" w:cs="Times New Roman"/>
          <w:sz w:val="24"/>
          <w:szCs w:val="24"/>
        </w:rPr>
        <w:t xml:space="preserve">masyarakat Kabupaten </w:t>
      </w:r>
      <w:r w:rsidRPr="00BC3FE9">
        <w:rPr>
          <w:rFonts w:ascii="Times New Roman" w:hAnsi="Times New Roman" w:cs="Times New Roman"/>
          <w:sz w:val="24"/>
          <w:szCs w:val="24"/>
        </w:rPr>
        <w:lastRenderedPageBreak/>
        <w:t xml:space="preserve">PALI, Sumatera Selatan dipilih secara </w:t>
      </w:r>
      <w:r w:rsidRPr="00BC3FE9">
        <w:rPr>
          <w:rFonts w:ascii="Times New Roman" w:hAnsi="Times New Roman" w:cs="Times New Roman"/>
          <w:i/>
          <w:iCs/>
          <w:sz w:val="24"/>
          <w:szCs w:val="24"/>
        </w:rPr>
        <w:t>purposive sampling</w:t>
      </w:r>
      <w:r w:rsidRPr="00BC3FE9">
        <w:rPr>
          <w:rFonts w:ascii="Times New Roman" w:hAnsi="Times New Roman" w:cs="Times New Roman"/>
          <w:sz w:val="24"/>
          <w:szCs w:val="24"/>
        </w:rPr>
        <w:t xml:space="preserve"> dengan mempertimbangkan faktor-faktor seperti umur, jenis kelamin, pekerjaan utama, dan tingkat pendidikan. </w:t>
      </w:r>
      <w:r w:rsidR="00E6720E" w:rsidRPr="00BC3FE9">
        <w:rPr>
          <w:rFonts w:ascii="Times New Roman" w:hAnsi="Times New Roman" w:cs="Times New Roman"/>
          <w:sz w:val="24"/>
          <w:szCs w:val="24"/>
        </w:rPr>
        <w:t xml:space="preserve">Data dianalisis dengan pendekatan kualitatif. Analisis data disajikan secara deskriptif. </w:t>
      </w:r>
      <w:r w:rsidRPr="00BC3FE9">
        <w:rPr>
          <w:rFonts w:ascii="Times New Roman" w:hAnsi="Times New Roman" w:cs="Times New Roman"/>
          <w:sz w:val="24"/>
          <w:szCs w:val="24"/>
        </w:rPr>
        <w:t xml:space="preserve">Tahapan analisis data tersebut terdiri dari reduksi data, penyajian data, dan penarikan kesimpulan. </w:t>
      </w:r>
    </w:p>
    <w:p w14:paraId="488A9765" w14:textId="265A0169" w:rsidR="00F83381" w:rsidRPr="00BC3FE9" w:rsidRDefault="00CE5172" w:rsidP="005C6759">
      <w:pPr>
        <w:autoSpaceDE w:val="0"/>
        <w:autoSpaceDN w:val="0"/>
        <w:adjustRightInd w:val="0"/>
        <w:spacing w:after="0" w:line="24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BAHASAN</w:t>
      </w:r>
    </w:p>
    <w:p w14:paraId="6F16A3A6" w14:textId="3038E666" w:rsidR="00992A2E" w:rsidRPr="00BC3FE9" w:rsidRDefault="005213E4" w:rsidP="005C6759">
      <w:pPr>
        <w:autoSpaceDE w:val="0"/>
        <w:autoSpaceDN w:val="0"/>
        <w:adjustRightInd w:val="0"/>
        <w:spacing w:after="0" w:line="24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 xml:space="preserve">Kondisi Umum </w:t>
      </w:r>
    </w:p>
    <w:p w14:paraId="11C031F5" w14:textId="46468AC3" w:rsidR="00A8768C" w:rsidRPr="00BC3FE9" w:rsidRDefault="005213E4"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Secara geografis, Kabupaten Penukal Abab Lematang Ilir (PALI) </w:t>
      </w:r>
      <w:r w:rsidR="00A610FD" w:rsidRPr="00BC3FE9">
        <w:rPr>
          <w:rFonts w:ascii="Times New Roman" w:hAnsi="Times New Roman" w:cs="Times New Roman"/>
          <w:sz w:val="24"/>
          <w:szCs w:val="24"/>
        </w:rPr>
        <w:t>t</w:t>
      </w:r>
      <w:r w:rsidRPr="00BC3FE9">
        <w:rPr>
          <w:rFonts w:ascii="Times New Roman" w:hAnsi="Times New Roman" w:cs="Times New Roman"/>
          <w:sz w:val="24"/>
          <w:szCs w:val="24"/>
        </w:rPr>
        <w:t>erletak pada posisi 2°50' - 3°30' Lintang Selatan dan 103°30' - 104°20' Bujur Timur. Luas wilayah Kabupaten PALI adalah 1.840 Km²</w:t>
      </w:r>
      <w:r w:rsidR="00A8768C" w:rsidRPr="00BC3FE9">
        <w:rPr>
          <w:rFonts w:ascii="Times New Roman" w:hAnsi="Times New Roman" w:cs="Times New Roman"/>
          <w:sz w:val="24"/>
          <w:szCs w:val="24"/>
        </w:rPr>
        <w:t xml:space="preserve"> terbagi menjadi 5 kecamatan, yaitu Kecamatan Talang Ubi, Kecamatan Tanah Abang, Kecamatan Penukal Utara, Kecamatan Penukal, dan Kecamatan Abab yang seluruhnya terdiri atas 91 desa definitif dan 6 kelurahan. Jumlah Penduduk Kab Pali adalah 200.368 jiwa dengan tingkat pertumbuhan penduduk sebesar 0,92 persen per tahun. </w:t>
      </w:r>
    </w:p>
    <w:p w14:paraId="764219D1" w14:textId="77777777" w:rsidR="00A8768C" w:rsidRPr="00BC3FE9" w:rsidRDefault="00A8768C" w:rsidP="00A8768C">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B</w:t>
      </w:r>
      <w:r w:rsidR="005213E4" w:rsidRPr="00BC3FE9">
        <w:rPr>
          <w:rFonts w:ascii="Times New Roman" w:hAnsi="Times New Roman" w:cs="Times New Roman"/>
          <w:sz w:val="24"/>
          <w:szCs w:val="24"/>
        </w:rPr>
        <w:t xml:space="preserve">atas-batas wilayah </w:t>
      </w:r>
      <w:r w:rsidRPr="00BC3FE9">
        <w:rPr>
          <w:rFonts w:ascii="Times New Roman" w:hAnsi="Times New Roman" w:cs="Times New Roman"/>
          <w:sz w:val="24"/>
          <w:szCs w:val="24"/>
        </w:rPr>
        <w:t xml:space="preserve">Kabupaten PALI </w:t>
      </w:r>
      <w:r w:rsidR="005213E4" w:rsidRPr="00BC3FE9">
        <w:rPr>
          <w:rFonts w:ascii="Times New Roman" w:hAnsi="Times New Roman" w:cs="Times New Roman"/>
          <w:sz w:val="24"/>
          <w:szCs w:val="24"/>
        </w:rPr>
        <w:t>sebagai berikut: Sebelah Utara berbatasan dengan Kabupaten Musi Banyuasin dan Kabupaten Banyuasin, Sebelah Timur berbatasan dengan Kabupaten Muara Enim, Sebelah Selatan berbatasan dengan Kabupaten Muara Enim dan Kota Prabumulih, dan Sebelah Barat berbatasan dengan Kabupaten Musi Rawas.</w:t>
      </w:r>
      <w:r w:rsidR="00997816" w:rsidRPr="00BC3FE9">
        <w:rPr>
          <w:rFonts w:ascii="Times New Roman" w:hAnsi="Times New Roman" w:cs="Times New Roman"/>
          <w:sz w:val="24"/>
          <w:szCs w:val="24"/>
        </w:rPr>
        <w:t xml:space="preserve"> </w:t>
      </w:r>
      <w:r w:rsidRPr="00BC3FE9">
        <w:rPr>
          <w:rFonts w:ascii="Times New Roman" w:hAnsi="Times New Roman" w:cs="Times New Roman"/>
          <w:sz w:val="24"/>
          <w:szCs w:val="24"/>
        </w:rPr>
        <w:t xml:space="preserve">Kabupaten Penukal Abab Lematang Ilir digolongkan sebagai daerah dataran rendah. Berdasarkan daerah sebaran ketinggian menurut kecamatan, seluruh wilayahnya berada pada ketinggian kurang dari 100 meter dari permukaan laut. </w:t>
      </w:r>
    </w:p>
    <w:p w14:paraId="3D123864" w14:textId="60E5573E" w:rsidR="00997816" w:rsidRPr="00BC3FE9" w:rsidRDefault="00A8768C" w:rsidP="00A8768C">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Jenis tanah yang terdapat di Kabupaten Penukal Abab Lematang Ilir adalah alluvial, podsolik merah kuning, asosiasi gley, dan asosiasi podlosik cokelat kekuningan. Keempat jenis tanah ini terdapat hampir di semua kecamatan di </w:t>
      </w:r>
      <w:r w:rsidRPr="00BC3FE9">
        <w:rPr>
          <w:rFonts w:ascii="Times New Roman" w:hAnsi="Times New Roman" w:cs="Times New Roman"/>
          <w:sz w:val="24"/>
          <w:szCs w:val="24"/>
        </w:rPr>
        <w:lastRenderedPageBreak/>
        <w:t xml:space="preserve">Kabupaten Penukal Abab Lematang Ilir, kecuali tanah jenis asosiasi podsolik coklat kekuningan yang hanya terdapat di Kecamatan Penukal. </w:t>
      </w:r>
      <w:r w:rsidR="00997816" w:rsidRPr="00BC3FE9">
        <w:rPr>
          <w:rFonts w:ascii="Times New Roman" w:hAnsi="Times New Roman" w:cs="Times New Roman"/>
          <w:sz w:val="24"/>
          <w:szCs w:val="24"/>
        </w:rPr>
        <w:t>Di samping itu, PALI juga memiliki beberapa objek wisata alam yang menarik, seperti air terjun, danau, dan hutan tropis. Keindahan alamnya membuat kabupaten ini memiliki potensi pariwisata yang dapat dikembangkan. Kondisi umum di PALI dipengaruhi oleh iklim tropis dengan suhu rata-rata sekitar 24-32 derajat Celsius sepanjang tahun. Curah hujan di wilayah ini cukup tinggi, terutama pada musim hujan antara Oktober hingga Maret.</w:t>
      </w:r>
    </w:p>
    <w:p w14:paraId="331E55B1" w14:textId="4234DF21" w:rsidR="00350B7F" w:rsidRPr="00BC3FE9" w:rsidRDefault="00844348"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Kabupaten </w:t>
      </w:r>
      <w:r w:rsidR="00A610FD" w:rsidRPr="00BC3FE9">
        <w:rPr>
          <w:rFonts w:ascii="Times New Roman" w:hAnsi="Times New Roman" w:cs="Times New Roman"/>
          <w:sz w:val="24"/>
          <w:szCs w:val="24"/>
        </w:rPr>
        <w:t xml:space="preserve">PALI terdiri dari dataran rendah yang meliputi dataran Sungai Lematang dan Sungai Ogan. </w:t>
      </w:r>
      <w:r w:rsidR="00337E26" w:rsidRPr="00BC3FE9">
        <w:rPr>
          <w:rFonts w:ascii="Times New Roman" w:hAnsi="Times New Roman" w:cs="Times New Roman"/>
          <w:sz w:val="24"/>
          <w:szCs w:val="24"/>
        </w:rPr>
        <w:t xml:space="preserve">Sungai merupakan aspek integral dari lingkungan dan sumber daya alam yang harus dilindungi untuk agar manusia dapat bertahan hidup </w:t>
      </w:r>
      <w:r w:rsidR="00D36F92" w:rsidRPr="00BC3FE9">
        <w:rPr>
          <w:rFonts w:ascii="Times New Roman" w:hAnsi="Times New Roman" w:cs="Times New Roman"/>
          <w:sz w:val="24"/>
          <w:szCs w:val="24"/>
        </w:rPr>
        <w:fldChar w:fldCharType="begin" w:fldLock="1"/>
      </w:r>
      <w:r w:rsidR="00AD0452" w:rsidRPr="00BC3FE9">
        <w:rPr>
          <w:rFonts w:ascii="Times New Roman" w:hAnsi="Times New Roman" w:cs="Times New Roman"/>
          <w:sz w:val="24"/>
          <w:szCs w:val="24"/>
        </w:rPr>
        <w:instrText>ADDIN CSL_CITATION {"citationItems":[{"id":"ITEM-1","itemData":{"abstract":"Natural resources are environmental components that include biological and non-biological resources that work together to produce an ecosystem. Rivers are one of the natural resources that sustain life. Musi River is a 750-kilometer-long river in the Indonesian state of South …","author":[{"dropping-particle":"","family":"Yuliana","given":"E","non-dropping-particle":"","parse-names":false,"suffix":""},{"dropping-particle":"","family":"Yusuf","given":"M","non-dropping-particle":"","parse-names":false,"suffix":""},{"dropping-particle":"","family":"Nirmalasari","given":"TN","non-dropping-particle":"","parse-names":false,"suffix":""},{"dropping-particle":"","family":"Amri","given":"N H","non-dropping-particle":"","parse-names":false,"suffix":""},{"dropping-particle":"","family":"Hidayat","given":"B A","non-dropping-particle":"","parse-names":false,"suffix":""}],"container-title":"Budapest International Research and Critics Institute (BIRCI-Journal): Humanities and Social Sciences","id":"ITEM-1","issue":"4","issued":{"date-parts":[["2021"]]},"page":"8248-8254","title":"Natural Resources and Environment Management for the Development of Local Wisdom","type":"article-journal","volume":"4"},"uris":["http://www.mendeley.com/documents/?uuid=a9864a59-9937-49a2-a4cc-da48188f185b"]}],"mendeley":{"formattedCitation":"(Yuliana et al., 2021)","plainTextFormattedCitation":"(Yuliana et al., 2021)","previouslyFormattedCitation":"(Yuliana et al., 2021)"},"properties":{"noteIndex":0},"schema":"https://github.com/citation-style-language/schema/raw/master/csl-citation.json"}</w:instrText>
      </w:r>
      <w:r w:rsidR="00D36F92" w:rsidRPr="00BC3FE9">
        <w:rPr>
          <w:rFonts w:ascii="Times New Roman" w:hAnsi="Times New Roman" w:cs="Times New Roman"/>
          <w:sz w:val="24"/>
          <w:szCs w:val="24"/>
        </w:rPr>
        <w:fldChar w:fldCharType="separate"/>
      </w:r>
      <w:r w:rsidR="00531A7E" w:rsidRPr="00BC3FE9">
        <w:rPr>
          <w:rFonts w:ascii="Times New Roman" w:hAnsi="Times New Roman" w:cs="Times New Roman"/>
          <w:noProof/>
          <w:sz w:val="24"/>
          <w:szCs w:val="24"/>
        </w:rPr>
        <w:t>(Yuliana et al., 2021)</w:t>
      </w:r>
      <w:r w:rsidR="00D36F92" w:rsidRPr="00BC3FE9">
        <w:rPr>
          <w:rFonts w:ascii="Times New Roman" w:hAnsi="Times New Roman" w:cs="Times New Roman"/>
          <w:sz w:val="24"/>
          <w:szCs w:val="24"/>
        </w:rPr>
        <w:fldChar w:fldCharType="end"/>
      </w:r>
      <w:r w:rsidR="00337E26" w:rsidRPr="00BC3FE9">
        <w:rPr>
          <w:rFonts w:ascii="Times New Roman" w:hAnsi="Times New Roman" w:cs="Times New Roman"/>
          <w:sz w:val="24"/>
          <w:szCs w:val="24"/>
        </w:rPr>
        <w:t xml:space="preserve">. </w:t>
      </w:r>
      <w:r w:rsidR="00350B7F" w:rsidRPr="00BC3FE9">
        <w:rPr>
          <w:rFonts w:ascii="Times New Roman" w:hAnsi="Times New Roman" w:cs="Times New Roman"/>
          <w:sz w:val="24"/>
          <w:szCs w:val="24"/>
        </w:rPr>
        <w:t xml:space="preserve">Sungai-sungai di PALI juga memiliki potensi sebagai habitat ikan dan sumber mata pencaharian bagi nelayan setempat. Berbagai jenis ikan air tawar dapat ditemukan di sungai-sungai tersebut, seperti ikan nila, ikan mujair, ikan lele, dan ikan gabus merupakan spesies ikan yang potensial untuk dikembangkan dan dimanfaatkan sebagai ikan konsumsi </w:t>
      </w:r>
      <w:r w:rsidR="00350B7F" w:rsidRPr="00BC3FE9">
        <w:rPr>
          <w:rFonts w:ascii="Times New Roman" w:hAnsi="Times New Roman" w:cs="Times New Roman"/>
          <w:sz w:val="24"/>
          <w:szCs w:val="24"/>
        </w:rPr>
        <w:fldChar w:fldCharType="begin" w:fldLock="1"/>
      </w:r>
      <w:r w:rsidR="00350B7F" w:rsidRPr="00BC3FE9">
        <w:rPr>
          <w:rFonts w:ascii="Times New Roman" w:hAnsi="Times New Roman" w:cs="Times New Roman"/>
          <w:sz w:val="24"/>
          <w:szCs w:val="24"/>
        </w:rPr>
        <w:instrText>ADDIN CSL_CITATION {"citationItems":[{"id":"ITEM-1","itemData":{"DOI":"10.15578/jkpi.6.1.2014.43-53","ISSN":"1979-6366","abstract":"&lt;p&gt;Perairan umum daratan yang meliputi ekosistem danau, waduk, sungai, rawa banjiran dan rawa merupakan Wilayah Pengelolaan Perikanan Republik Indonesia. Zona Wallacea yang meliputi Pulau Sulawesi dan Nusa Tenggara, masing-masing didominasi oleh ekosistem danau dan embung (waduk). Keanekaragaman ikan di perairan umum daratan zona Wallacea sebagian besar termasuk spesies ikan endemik yang tidak ditemukan di perairan Paparan Sunda dan Sahul. Ancaman terhadap kelestarian sumber daya ikan endemik merupakan isu sentral yang harus segera ditanggulangi. Keunikan sumber daya ikan endemik di zona Wallacea memerlukan model pemanfaatan dan pengelolaan tersendiri yang tidak dapat disamakan dengan model pengelolaan sumber daya ikan di Paparan Sunda dan Sahul. Langkah-langkah pengelolaan sumber daya ikan endemik dalam rangka pemanfaatannya bagi pembangunan ekonomi masyarakat meliputi: pemanfaatan sumber daya ikan endemik sebagai ikan hias potensial; pelestarian sumber daya ikan endemik melalui penetapan kawasan konservasinya; pengendalian spesies ikan asing invasif; pengembangan pembenihan ikan endemik dan restocking; revitalisasi kearifan lokal dan pengembangan ko-manajemen.&lt;/p&gt;&lt;p&gt; &lt;/p&gt;&lt;p&gt;Inlandwaters ecosystems which covering lakes, reservoirs, rivers, swamps and floodplains area is Regional Fisheries Management of Republic of Indonesia. Wallacea zone which includes the island of Sulawesi and Nusa Tenggara dominated by lakes ecosystems and small reservoirs, respectively. Fish diversity in inland waters of Wallacea zone mostly dominated by endemic fish species that are not found in the inlandwaters of Sundaland and Sahulland. The threat to the conservation of endemic fish resources is a central issue that must be addressed. The uniqueness of endemic fish resources in Wallacea zone requires a management models that may not be equal with a management model of fish resources in Sundaland or Sahulland. A management measure of endemic fish resources in Wallacea zone for economic development of the society should include: utilization of endemic fish resources as an ornamental fish potential; preservation of endemic fish resources through the establishment of conservation areas; controlling invasive alien species; development of endemic fish hatcheries and restocking; revitalization of local knowledge and the development of fisheries co-management.&lt;/p&gt;","author":[{"dropping-particle":"","family":"Kartamihardja","given":"Endi Setiadi","non-dropping-particle":"","parse-names":false,"suffix":""}],"container-title":"Jurnal Kebijakan Perikanan Indonesia","id":"ITEM-1","issue":"1","issued":{"date-parts":[["2014"]]},"page":"43","title":"Prospek Pemanfaatan Sumber Daya Ikan Endemik Di Perairan Umum Daratan Zona Wallacea Dalam Mendukung Pembangunan Ekonomi Masyarakat","type":"article-journal","volume":"6"},"uris":["http://www.mendeley.com/documents/?uuid=9918c568-379d-424c-a38e-13446023ade1"]}],"mendeley":{"formattedCitation":"(Kartamihardja, 2014)","plainTextFormattedCitation":"(Kartamihardja, 2014)","previouslyFormattedCitation":"(Kartamihardja, 2014)"},"properties":{"noteIndex":0},"schema":"https://github.com/citation-style-language/schema/raw/master/csl-citation.json"}</w:instrText>
      </w:r>
      <w:r w:rsidR="00350B7F" w:rsidRPr="00BC3FE9">
        <w:rPr>
          <w:rFonts w:ascii="Times New Roman" w:hAnsi="Times New Roman" w:cs="Times New Roman"/>
          <w:sz w:val="24"/>
          <w:szCs w:val="24"/>
        </w:rPr>
        <w:fldChar w:fldCharType="separate"/>
      </w:r>
      <w:r w:rsidR="00350B7F" w:rsidRPr="00BC3FE9">
        <w:rPr>
          <w:rFonts w:ascii="Times New Roman" w:hAnsi="Times New Roman" w:cs="Times New Roman"/>
          <w:noProof/>
          <w:sz w:val="24"/>
          <w:szCs w:val="24"/>
        </w:rPr>
        <w:t>(Kartamihardja, 2014)</w:t>
      </w:r>
      <w:r w:rsidR="00350B7F" w:rsidRPr="00BC3FE9">
        <w:rPr>
          <w:rFonts w:ascii="Times New Roman" w:hAnsi="Times New Roman" w:cs="Times New Roman"/>
          <w:sz w:val="24"/>
          <w:szCs w:val="24"/>
        </w:rPr>
        <w:fldChar w:fldCharType="end"/>
      </w:r>
      <w:r w:rsidR="00350B7F" w:rsidRPr="00BC3FE9">
        <w:rPr>
          <w:rFonts w:ascii="Times New Roman" w:hAnsi="Times New Roman" w:cs="Times New Roman"/>
          <w:sz w:val="24"/>
          <w:szCs w:val="24"/>
        </w:rPr>
        <w:t xml:space="preserve">. </w:t>
      </w:r>
    </w:p>
    <w:p w14:paraId="357CA4A6" w14:textId="17686F7A" w:rsidR="00A610FD" w:rsidRPr="00BC3FE9" w:rsidRDefault="00A610FD"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Wilayah ini memiliki potensi sumber daya alam yang melimpah, terutama dalam sektor pertanian dan perkebunan. </w:t>
      </w:r>
      <w:r w:rsidR="00AD0452" w:rsidRPr="00BC3FE9">
        <w:rPr>
          <w:rFonts w:ascii="Times New Roman" w:hAnsi="Times New Roman" w:cs="Times New Roman"/>
          <w:sz w:val="24"/>
          <w:szCs w:val="24"/>
        </w:rPr>
        <w:t xml:space="preserve">Sungai bersifat multiguna dan memiliki peran strategis dalam mendukung pembangunan perekonomian masyarakat di daerah </w:t>
      </w:r>
      <w:r w:rsidR="00AD0452" w:rsidRPr="00BC3FE9">
        <w:rPr>
          <w:rFonts w:ascii="Times New Roman" w:hAnsi="Times New Roman" w:cs="Times New Roman"/>
          <w:sz w:val="24"/>
          <w:szCs w:val="24"/>
        </w:rPr>
        <w:fldChar w:fldCharType="begin" w:fldLock="1"/>
      </w:r>
      <w:r w:rsidR="00B8121C" w:rsidRPr="00BC3FE9">
        <w:rPr>
          <w:rFonts w:ascii="Times New Roman" w:hAnsi="Times New Roman" w:cs="Times New Roman"/>
          <w:sz w:val="24"/>
          <w:szCs w:val="24"/>
        </w:rPr>
        <w:instrText>ADDIN CSL_CITATION {"citationItems":[{"id":"ITEM-1","itemData":{"DOI":"10.15578/jkpi.3.1.2011.13-26","ISSN":"1979-6366","abstract":"Pengelolaan sumber daya perairan Sungai Musi di Sumatera bertujuan untuk menjaga keberlanjutan pemanfaatan dan kelestarian sumber daya perairan di masa datang. Untuk itu diperlukan gambaran status terkini sumber daya perairan yang merupakan salah satu komponen yang diperlukan dalam pengelolaan. Perubahan pemanfaatan lahan selama periode 30 tahun di Daerah Aliran Sungai (DAS) Musi tampak berupa perubahan fisik (modifikasi lingkungan) dan penambahan bahan-bahan antropogenik. Modifikasi lingkungan yang terjadi seperti pembendungan sungai untuk pembangkit listrik tenaga air dan irigasi pada bagian hulu Sungai Musi, dan pembelokan masa air di anak Sungai Musi berdampak terhadap berkurangnya luas rawa banjiran, sedimentasi, penurunan debit air dan tinggi muka air, serta terhalangnya migrasi beberapa jenis ikan. Penambahan bahan-bahan antropogenik yang berasal dari berbagai kegiatanindustri di bagian tengah dan hilir Sungai Musi, mempengaruhi sumber daya perairan dan ikan, serta hasil tangkapan nelayan. Berdasarkan indikator biota dasar makrozoobenthos dan ikan, Sungai Musi bagian hilir dari desa kelurahan Gandus sampai dengan Muara Sungai Komering tergolong tercemar berat olehbahan organik. Pengelolaan sumber daya di perairan Sungai Musi perlu dilakukan untuk menjaga kelestarian dan keberlanjutan pemanfaatan sumber daya ikan perairan Sungai Musi di masa yang akan datang. Keragaman tipe ekosistem perairan, sifat pemanfatan yang multi guna dan multi sektor serta keberadaanwilayah Sungai Musi yang lintas provinsi merupakan komponen penting yang perlu dipertimbangkan dalam pengelolaan sumber daya perairan Sungai Musi. Pengelolaan sumber daya perairan di Sungai Musi hendaknya dilakukan secara terpadu dan holistik dengan mempertimbangkan beberapa aspek seperti wilayah/ ekologi, sektor, bidang ilmu dan stakeholder.Water resource management of Musi River in Sumatra is aimed to assure the sustainable use and the sustainability of water resources in the future. Therefore it is needed the information of the current state of water resources as one of components required in management. The change of territorial use for a period of 30 years in Musi River Bank is appreared as form of a physical change (environment modification) and an increase of antrophogenic matters. The environment modification was such as a river barrier man-made used for water electricity power and irrigation at upper part of Musi River, and the turning water mass in Musi River, gives an impact to the …","author":[{"dropping-particle":"","family":"Wiadnyana","given":"Ngurah Nyoman","non-dropping-particle":"","parse-names":false,"suffix":""},{"dropping-particle":"","family":"Husnah","given":"Husnah","non-dropping-particle":"","parse-names":false,"suffix":""}],"container-title":"Jurnal Kebijakan Perikanan Indonesia","id":"ITEM-1","issue":"1","issued":{"date-parts":[["2017"]]},"page":"13","title":"Upaya Pengelolaan Perairan Sungai Musi, Sumatera Untuk Keberlanjutan Pemanfaatan Sumber Daya Ikan","type":"article-journal","volume":"3"},"uris":["http://www.mendeley.com/documents/?uuid=a0a6f40e-9dc4-48f9-a6bb-ff67a0d2a16d"]}],"mendeley":{"formattedCitation":"(Wiadnyana &amp; Husnah, 2017)","plainTextFormattedCitation":"(Wiadnyana &amp; Husnah, 2017)","previouslyFormattedCitation":"(Wiadnyana &amp; Husnah, 2017)"},"properties":{"noteIndex":0},"schema":"https://github.com/citation-style-language/schema/raw/master/csl-citation.json"}</w:instrText>
      </w:r>
      <w:r w:rsidR="00AD0452" w:rsidRPr="00BC3FE9">
        <w:rPr>
          <w:rFonts w:ascii="Times New Roman" w:hAnsi="Times New Roman" w:cs="Times New Roman"/>
          <w:sz w:val="24"/>
          <w:szCs w:val="24"/>
        </w:rPr>
        <w:fldChar w:fldCharType="separate"/>
      </w:r>
      <w:r w:rsidR="00AD0452" w:rsidRPr="00BC3FE9">
        <w:rPr>
          <w:rFonts w:ascii="Times New Roman" w:hAnsi="Times New Roman" w:cs="Times New Roman"/>
          <w:noProof/>
          <w:sz w:val="24"/>
          <w:szCs w:val="24"/>
        </w:rPr>
        <w:t>(Wiadnyana &amp; Husnah, 2017)</w:t>
      </w:r>
      <w:r w:rsidR="00AD0452" w:rsidRPr="00BC3FE9">
        <w:rPr>
          <w:rFonts w:ascii="Times New Roman" w:hAnsi="Times New Roman" w:cs="Times New Roman"/>
          <w:sz w:val="24"/>
          <w:szCs w:val="24"/>
        </w:rPr>
        <w:fldChar w:fldCharType="end"/>
      </w:r>
      <w:r w:rsidR="00AD0452" w:rsidRPr="00BC3FE9">
        <w:rPr>
          <w:rFonts w:ascii="Times New Roman" w:hAnsi="Times New Roman" w:cs="Times New Roman"/>
          <w:sz w:val="24"/>
          <w:szCs w:val="24"/>
        </w:rPr>
        <w:t xml:space="preserve">. </w:t>
      </w:r>
      <w:r w:rsidR="00EC2612" w:rsidRPr="00BC3FE9">
        <w:rPr>
          <w:rFonts w:ascii="Times New Roman" w:hAnsi="Times New Roman" w:cs="Times New Roman"/>
          <w:sz w:val="24"/>
          <w:szCs w:val="24"/>
        </w:rPr>
        <w:t xml:space="preserve">Bagi masyarakat pada masa lalu, sungai sangat fungsional sebagai sumber air minum, tempat mandi dan mencuci pakaian, sebagai prasarana transportasi air yang sangat diandalkan, seperti untuk kegiatan perdagangan (mulai dari sandang, pangan hingga papan), hingga untuk mencari ikan </w:t>
      </w:r>
      <w:r w:rsidR="00EC2612" w:rsidRPr="00BC3FE9">
        <w:rPr>
          <w:rFonts w:ascii="Times New Roman" w:hAnsi="Times New Roman" w:cs="Times New Roman"/>
          <w:sz w:val="24"/>
          <w:szCs w:val="24"/>
        </w:rPr>
        <w:fldChar w:fldCharType="begin" w:fldLock="1"/>
      </w:r>
      <w:r w:rsidR="00EC2612" w:rsidRPr="00BC3FE9">
        <w:rPr>
          <w:rFonts w:ascii="Times New Roman" w:hAnsi="Times New Roman" w:cs="Times New Roman"/>
          <w:sz w:val="24"/>
          <w:szCs w:val="24"/>
        </w:rPr>
        <w:instrText>ADDIN CSL_CITATION {"citationItems":[{"id":"ITEM-1","itemData":{"DOI":"10.21787/jbp.14.2022.1-15","ISSN":"20854323","abstract":"Light Rail Transit (LRT), integrated with river transportation as a unique city and tourist attraction, is important in supporting smart cities. This study aims to assess the possibilities of river transportation users who use LRT as an advanced mode and its supporting infrastructure. This research is quantitative research with a descriptive approach. Primary data is obtained from a survey of the movement of river transportation users from outside the city to Palembang City and has the potential to continue their journey using the LRT. Interviews were also conducted with respondents covering the respondents' travel destination, travel destination, and reasons. The study results indicate that the use of river transportation from within the city, which gets off at the pier and does not continue the journey as much as 75%, and the rest will continue the journey using the LRT mode only 16%. Meanwhile, 29.5% of river transport users from outside the city disembark at the pier. The remaining 53% continue their journey with the potential to use LRT, which is a reasonably high percentage if it can be appropriately managed. The availability of a variety of public transportation that can park near the pier at a cheaper rate is the main cause of their lack of interest in using the LRT mode. The proposed supporting infrastructure for integration between river transport and LRT is the pedestrian path.","author":[{"dropping-particle":"","family":"Hidayat","given":"Bachtari","non-dropping-particle":"","parse-names":false,"suffix":""},{"dropping-particle":"","family":"Fatoni","given":"Agus","non-dropping-particle":"","parse-names":false,"suffix":""},{"dropping-particle":"","family":"Saksono","given":"Herie","non-dropping-particle":"","parse-names":false,"suffix":""},{"dropping-particle":"","family":"Asriani","given":"Asriani","non-dropping-particle":"","parse-names":false,"suffix":""},{"dropping-particle":"","family":"Andari","given":"Tania","non-dropping-particle":"","parse-names":false,"suffix":""}],"container-title":"Jurnal Bina Praja","id":"ITEM-1","issue":"1","issued":{"date-parts":[["2022"]]},"page":"1-15","title":"Integrated River Transport Development to Support Smart City","type":"article-journal","volume":"14"},"uris":["http://www.mendeley.com/documents/?uuid=a9a897f1-a844-424c-bb9a-cedfd830ddfc"]}],"mendeley":{"formattedCitation":"(B. Hidayat et al., 2022)","plainTextFormattedCitation":"(B. Hidayat et al., 2022)","previouslyFormattedCitation":"(B. Hidayat et al., 2022)"},"properties":{"noteIndex":0},"schema":"https://github.com/citation-style-language/schema/raw/master/csl-citation.json"}</w:instrText>
      </w:r>
      <w:r w:rsidR="00EC2612" w:rsidRPr="00BC3FE9">
        <w:rPr>
          <w:rFonts w:ascii="Times New Roman" w:hAnsi="Times New Roman" w:cs="Times New Roman"/>
          <w:sz w:val="24"/>
          <w:szCs w:val="24"/>
        </w:rPr>
        <w:fldChar w:fldCharType="separate"/>
      </w:r>
      <w:r w:rsidR="00EC2612" w:rsidRPr="00BC3FE9">
        <w:rPr>
          <w:rFonts w:ascii="Times New Roman" w:hAnsi="Times New Roman" w:cs="Times New Roman"/>
          <w:noProof/>
          <w:sz w:val="24"/>
          <w:szCs w:val="24"/>
        </w:rPr>
        <w:t>(B. Hidayat et al., 2022)</w:t>
      </w:r>
      <w:r w:rsidR="00EC2612" w:rsidRPr="00BC3FE9">
        <w:rPr>
          <w:rFonts w:ascii="Times New Roman" w:hAnsi="Times New Roman" w:cs="Times New Roman"/>
          <w:sz w:val="24"/>
          <w:szCs w:val="24"/>
        </w:rPr>
        <w:fldChar w:fldCharType="end"/>
      </w:r>
      <w:r w:rsidR="00EC2612" w:rsidRPr="00BC3FE9">
        <w:rPr>
          <w:rFonts w:ascii="Times New Roman" w:hAnsi="Times New Roman" w:cs="Times New Roman"/>
          <w:sz w:val="24"/>
          <w:szCs w:val="24"/>
        </w:rPr>
        <w:t xml:space="preserve">. </w:t>
      </w:r>
      <w:r w:rsidRPr="00BC3FE9">
        <w:rPr>
          <w:rFonts w:ascii="Times New Roman" w:hAnsi="Times New Roman" w:cs="Times New Roman"/>
          <w:sz w:val="24"/>
          <w:szCs w:val="24"/>
        </w:rPr>
        <w:t xml:space="preserve">Tanahnya yang subur memungkinkan pertanian </w:t>
      </w:r>
      <w:r w:rsidRPr="00BC3FE9">
        <w:rPr>
          <w:rFonts w:ascii="Times New Roman" w:hAnsi="Times New Roman" w:cs="Times New Roman"/>
          <w:sz w:val="24"/>
          <w:szCs w:val="24"/>
        </w:rPr>
        <w:lastRenderedPageBreak/>
        <w:t>menjadi salah satu sektor utama dalam perekonomian kabupaten ini. Sungai-sungai di PALI memberikan pasokan air yang penting untuk sektor pertanian dan perkebunan. Petani dapat menggunakan air sungai untuk mengairi lahan pertanian, seperti sawah padi, kebun buah-buahan, kebun sayur, dan perkebunan kelapa sawit.</w:t>
      </w:r>
      <w:r w:rsidR="004821E1" w:rsidRPr="00BC3FE9">
        <w:rPr>
          <w:rFonts w:ascii="Times New Roman" w:hAnsi="Times New Roman" w:cs="Times New Roman"/>
          <w:sz w:val="24"/>
          <w:szCs w:val="24"/>
        </w:rPr>
        <w:t xml:space="preserve"> </w:t>
      </w:r>
      <w:r w:rsidR="00350B7F" w:rsidRPr="00BC3FE9">
        <w:rPr>
          <w:rFonts w:ascii="Times New Roman" w:hAnsi="Times New Roman" w:cs="Times New Roman"/>
          <w:sz w:val="24"/>
          <w:szCs w:val="24"/>
        </w:rPr>
        <w:t xml:space="preserve">Masyarakat mengelola sumber daya yang ada dan mereka hidup harmonis dengan alam dan lingkungan di sekitarnya </w:t>
      </w:r>
      <w:r w:rsidR="00350B7F" w:rsidRPr="00BC3FE9">
        <w:rPr>
          <w:rFonts w:ascii="Times New Roman" w:hAnsi="Times New Roman" w:cs="Times New Roman"/>
          <w:sz w:val="24"/>
          <w:szCs w:val="24"/>
        </w:rPr>
        <w:fldChar w:fldCharType="begin" w:fldLock="1"/>
      </w:r>
      <w:r w:rsidR="00FB268B" w:rsidRPr="00BC3FE9">
        <w:rPr>
          <w:rFonts w:ascii="Times New Roman" w:hAnsi="Times New Roman" w:cs="Times New Roman"/>
          <w:sz w:val="24"/>
          <w:szCs w:val="24"/>
        </w:rPr>
        <w:instrText>ADDIN CSL_CITATION {"citationItems":[{"id":"ITEM-1","itemData":{"author":[{"dropping-particle":"","family":"Hidayati","given":"Deny","non-dropping-particle":"","parse-names":false,"suffix":""}],"container-title":"Jurnal Kependudukan Indonesia","id":"ITEM-1","issue":"1","issued":{"date-parts":[["2016"]]},"page":"39-48","title":"Memudarnya Nilai Kearifan Lokal Masyarakat dalam Pengelolaan Sumber Daya Air","type":"article-journal","volume":"11"},"uris":["http://www.mendeley.com/documents/?uuid=1a8d7d2a-f881-451c-a722-b17b920e2d4a"]}],"mendeley":{"formattedCitation":"(Hidayati, 2016)","plainTextFormattedCitation":"(Hidayati, 2016)","previouslyFormattedCitation":"(Hidayati, 2016)"},"properties":{"noteIndex":0},"schema":"https://github.com/citation-style-language/schema/raw/master/csl-citation.json"}</w:instrText>
      </w:r>
      <w:r w:rsidR="00350B7F" w:rsidRPr="00BC3FE9">
        <w:rPr>
          <w:rFonts w:ascii="Times New Roman" w:hAnsi="Times New Roman" w:cs="Times New Roman"/>
          <w:sz w:val="24"/>
          <w:szCs w:val="24"/>
        </w:rPr>
        <w:fldChar w:fldCharType="separate"/>
      </w:r>
      <w:r w:rsidR="00350B7F" w:rsidRPr="00BC3FE9">
        <w:rPr>
          <w:rFonts w:ascii="Times New Roman" w:hAnsi="Times New Roman" w:cs="Times New Roman"/>
          <w:noProof/>
          <w:sz w:val="24"/>
          <w:szCs w:val="24"/>
        </w:rPr>
        <w:t>(Hidayati, 2016)</w:t>
      </w:r>
      <w:r w:rsidR="00350B7F" w:rsidRPr="00BC3FE9">
        <w:rPr>
          <w:rFonts w:ascii="Times New Roman" w:hAnsi="Times New Roman" w:cs="Times New Roman"/>
          <w:sz w:val="24"/>
          <w:szCs w:val="24"/>
        </w:rPr>
        <w:fldChar w:fldCharType="end"/>
      </w:r>
      <w:r w:rsidR="00350B7F" w:rsidRPr="00BC3FE9">
        <w:rPr>
          <w:rFonts w:ascii="Times New Roman" w:hAnsi="Times New Roman" w:cs="Times New Roman"/>
          <w:sz w:val="24"/>
          <w:szCs w:val="24"/>
        </w:rPr>
        <w:t>.</w:t>
      </w:r>
    </w:p>
    <w:p w14:paraId="1C895B16" w14:textId="30699AFE" w:rsidR="00A53993" w:rsidRPr="00BC3FE9" w:rsidRDefault="00A53993"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Tren kemiskinan, IPM (Indeks Pembangunan Manusia), dan tingkat konsumsi per kapita penduduk berpendapatan rendah adalah indikator penting yang digunakan untuk mengukur tingkat kesejahteraan dan tingkat hidup penduduk yang berada dalam kondisi ekonomi yang kurang mampu.</w:t>
      </w:r>
      <w:r w:rsidR="005059C1" w:rsidRPr="00BC3FE9">
        <w:rPr>
          <w:rFonts w:ascii="Times New Roman" w:hAnsi="Times New Roman" w:cs="Times New Roman"/>
          <w:sz w:val="24"/>
          <w:szCs w:val="24"/>
        </w:rPr>
        <w:t xml:space="preserve"> </w:t>
      </w:r>
    </w:p>
    <w:p w14:paraId="728A8D10" w14:textId="2C63F54E" w:rsidR="00A53993" w:rsidRPr="00BC3FE9" w:rsidRDefault="0089543D" w:rsidP="00A53993">
      <w:pPr>
        <w:autoSpaceDE w:val="0"/>
        <w:autoSpaceDN w:val="0"/>
        <w:adjustRightInd w:val="0"/>
        <w:spacing w:after="0" w:line="480" w:lineRule="auto"/>
        <w:jc w:val="center"/>
        <w:rPr>
          <w:rFonts w:ascii="Times New Roman" w:hAnsi="Times New Roman" w:cs="Times New Roman"/>
          <w:sz w:val="24"/>
          <w:szCs w:val="24"/>
        </w:rPr>
      </w:pPr>
      <w:r w:rsidRPr="00BC3FE9">
        <w:rPr>
          <w:noProof/>
        </w:rPr>
        <w:drawing>
          <wp:inline distT="0" distB="0" distL="0" distR="0" wp14:anchorId="11C6864F" wp14:editId="7EA03CF3">
            <wp:extent cx="3486150" cy="1955800"/>
            <wp:effectExtent l="0" t="0" r="0" b="6350"/>
            <wp:docPr id="3" name="Chart 3">
              <a:extLst xmlns:a="http://schemas.openxmlformats.org/drawingml/2006/main">
                <a:ext uri="{FF2B5EF4-FFF2-40B4-BE49-F238E27FC236}">
                  <a16:creationId xmlns:a16="http://schemas.microsoft.com/office/drawing/2014/main" id="{0E272F31-58A1-B5A4-0CAC-4AF2F6A0C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5A4ECA"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t>Sumber: Badan Pusat Statistik</w:t>
      </w:r>
    </w:p>
    <w:p w14:paraId="4852A622" w14:textId="5DF59A2C" w:rsidR="00A53993" w:rsidRDefault="00A53993" w:rsidP="00A53993">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Gambar 1. Tren Kemiskinan</w:t>
      </w:r>
      <w:r w:rsidR="0089543D" w:rsidRPr="00BC3FE9">
        <w:rPr>
          <w:rFonts w:ascii="Times New Roman" w:hAnsi="Times New Roman" w:cs="Times New Roman"/>
          <w:sz w:val="24"/>
          <w:szCs w:val="24"/>
        </w:rPr>
        <w:t xml:space="preserve"> Kabupaten PALI</w:t>
      </w:r>
    </w:p>
    <w:p w14:paraId="3228749C" w14:textId="239BF70B" w:rsidR="001C20D2" w:rsidRPr="001C20D2" w:rsidRDefault="001C20D2" w:rsidP="00A53993">
      <w:pPr>
        <w:autoSpaceDE w:val="0"/>
        <w:autoSpaceDN w:val="0"/>
        <w:adjustRightInd w:val="0"/>
        <w:spacing w:after="0" w:line="24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1: Poverty Trend in PALI Regency</w:t>
      </w:r>
    </w:p>
    <w:p w14:paraId="747BD357" w14:textId="4991B728" w:rsidR="00FC785E" w:rsidRPr="00BC3FE9" w:rsidRDefault="00A8768C" w:rsidP="00FC785E">
      <w:pPr>
        <w:autoSpaceDE w:val="0"/>
        <w:autoSpaceDN w:val="0"/>
        <w:adjustRightInd w:val="0"/>
        <w:spacing w:after="0" w:line="480" w:lineRule="auto"/>
        <w:jc w:val="center"/>
        <w:rPr>
          <w:rFonts w:ascii="Times New Roman" w:hAnsi="Times New Roman" w:cs="Times New Roman"/>
          <w:sz w:val="24"/>
          <w:szCs w:val="24"/>
        </w:rPr>
      </w:pPr>
      <w:r w:rsidRPr="00BC3FE9">
        <w:rPr>
          <w:noProof/>
        </w:rPr>
        <w:drawing>
          <wp:inline distT="0" distB="0" distL="0" distR="0" wp14:anchorId="762C5697" wp14:editId="080D31A4">
            <wp:extent cx="3790950" cy="2076450"/>
            <wp:effectExtent l="0" t="0" r="0" b="0"/>
            <wp:docPr id="4" name="Chart 4">
              <a:extLst xmlns:a="http://schemas.openxmlformats.org/drawingml/2006/main">
                <a:ext uri="{FF2B5EF4-FFF2-40B4-BE49-F238E27FC236}">
                  <a16:creationId xmlns:a16="http://schemas.microsoft.com/office/drawing/2014/main" id="{61D0BE63-AEA7-31CC-0CC0-2204BD833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D5D569"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lastRenderedPageBreak/>
        <w:t>Sumber: Badan Pusat Statistik</w:t>
      </w:r>
    </w:p>
    <w:p w14:paraId="3620356E" w14:textId="073A05D8" w:rsidR="00FC785E" w:rsidRDefault="00FC785E" w:rsidP="00A53993">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 xml:space="preserve">Gambar </w:t>
      </w:r>
      <w:r w:rsidR="00A53993" w:rsidRPr="00BC3FE9">
        <w:rPr>
          <w:rFonts w:ascii="Times New Roman" w:hAnsi="Times New Roman" w:cs="Times New Roman"/>
          <w:sz w:val="24"/>
          <w:szCs w:val="24"/>
        </w:rPr>
        <w:t>2</w:t>
      </w:r>
      <w:r w:rsidRPr="00BC3FE9">
        <w:rPr>
          <w:rFonts w:ascii="Times New Roman" w:hAnsi="Times New Roman" w:cs="Times New Roman"/>
          <w:sz w:val="24"/>
          <w:szCs w:val="24"/>
        </w:rPr>
        <w:t xml:space="preserve">. </w:t>
      </w:r>
      <w:r w:rsidR="00A8768C" w:rsidRPr="00BC3FE9">
        <w:rPr>
          <w:rFonts w:ascii="Times New Roman" w:hAnsi="Times New Roman" w:cs="Times New Roman"/>
          <w:sz w:val="24"/>
          <w:szCs w:val="24"/>
        </w:rPr>
        <w:t xml:space="preserve">Perkembangan </w:t>
      </w:r>
      <w:r w:rsidRPr="00BC3FE9">
        <w:rPr>
          <w:rFonts w:ascii="Times New Roman" w:hAnsi="Times New Roman" w:cs="Times New Roman"/>
          <w:sz w:val="24"/>
          <w:szCs w:val="24"/>
        </w:rPr>
        <w:t>Indeks Pembangunan Manusia</w:t>
      </w:r>
      <w:r w:rsidR="00A8768C" w:rsidRPr="00BC3FE9">
        <w:rPr>
          <w:rFonts w:ascii="Times New Roman" w:hAnsi="Times New Roman" w:cs="Times New Roman"/>
          <w:sz w:val="24"/>
          <w:szCs w:val="24"/>
        </w:rPr>
        <w:t xml:space="preserve"> Kabupaten PALI </w:t>
      </w:r>
    </w:p>
    <w:p w14:paraId="57FEF47A" w14:textId="1CE6D597" w:rsidR="001C20D2" w:rsidRPr="001C20D2" w:rsidRDefault="001C20D2" w:rsidP="00A53993">
      <w:pPr>
        <w:autoSpaceDE w:val="0"/>
        <w:autoSpaceDN w:val="0"/>
        <w:adjustRightInd w:val="0"/>
        <w:spacing w:after="0" w:line="24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2: Development of PALI Regency's Human Development Index</w:t>
      </w:r>
    </w:p>
    <w:p w14:paraId="62C0747D" w14:textId="13B54890" w:rsidR="00FC785E" w:rsidRPr="00BC3FE9" w:rsidRDefault="0089543D" w:rsidP="00FC785E">
      <w:pPr>
        <w:autoSpaceDE w:val="0"/>
        <w:autoSpaceDN w:val="0"/>
        <w:adjustRightInd w:val="0"/>
        <w:spacing w:after="0" w:line="480" w:lineRule="auto"/>
        <w:jc w:val="center"/>
        <w:rPr>
          <w:rFonts w:ascii="Times New Roman" w:hAnsi="Times New Roman" w:cs="Times New Roman"/>
          <w:sz w:val="24"/>
          <w:szCs w:val="24"/>
        </w:rPr>
      </w:pPr>
      <w:r w:rsidRPr="00BC3FE9">
        <w:rPr>
          <w:noProof/>
        </w:rPr>
        <w:drawing>
          <wp:inline distT="0" distB="0" distL="0" distR="0" wp14:anchorId="2CAD7EED" wp14:editId="040C55B9">
            <wp:extent cx="3822700" cy="2082800"/>
            <wp:effectExtent l="0" t="0" r="6350" b="12700"/>
            <wp:docPr id="2" name="Chart 2">
              <a:extLst xmlns:a="http://schemas.openxmlformats.org/drawingml/2006/main">
                <a:ext uri="{FF2B5EF4-FFF2-40B4-BE49-F238E27FC236}">
                  <a16:creationId xmlns:a16="http://schemas.microsoft.com/office/drawing/2014/main" id="{0AC367FA-6C77-373F-D0B9-06EB51253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C7E594"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t>Sumber: Badan Pusat Statistik</w:t>
      </w:r>
    </w:p>
    <w:p w14:paraId="13726A1C" w14:textId="16A61011" w:rsidR="00FC785E" w:rsidRDefault="00FC785E" w:rsidP="00FC785E">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 xml:space="preserve">Gambar </w:t>
      </w:r>
      <w:r w:rsidR="00A53993" w:rsidRPr="00BC3FE9">
        <w:rPr>
          <w:rFonts w:ascii="Times New Roman" w:hAnsi="Times New Roman" w:cs="Times New Roman"/>
          <w:sz w:val="24"/>
          <w:szCs w:val="24"/>
        </w:rPr>
        <w:t>3</w:t>
      </w:r>
      <w:r w:rsidRPr="00BC3FE9">
        <w:rPr>
          <w:rFonts w:ascii="Times New Roman" w:hAnsi="Times New Roman" w:cs="Times New Roman"/>
          <w:sz w:val="24"/>
          <w:szCs w:val="24"/>
        </w:rPr>
        <w:t xml:space="preserve">. Tingkat Konsumsi Perkapita </w:t>
      </w:r>
      <w:r w:rsidR="0089543D" w:rsidRPr="00BC3FE9">
        <w:rPr>
          <w:rFonts w:ascii="Times New Roman" w:hAnsi="Times New Roman" w:cs="Times New Roman"/>
          <w:sz w:val="24"/>
          <w:szCs w:val="24"/>
        </w:rPr>
        <w:t xml:space="preserve">dari 40% </w:t>
      </w:r>
      <w:r w:rsidRPr="00BC3FE9">
        <w:rPr>
          <w:rFonts w:ascii="Times New Roman" w:hAnsi="Times New Roman" w:cs="Times New Roman"/>
          <w:sz w:val="24"/>
          <w:szCs w:val="24"/>
        </w:rPr>
        <w:t>Penduduk Berpen</w:t>
      </w:r>
      <w:r w:rsidR="0089543D" w:rsidRPr="00BC3FE9">
        <w:rPr>
          <w:rFonts w:ascii="Times New Roman" w:hAnsi="Times New Roman" w:cs="Times New Roman"/>
          <w:sz w:val="24"/>
          <w:szCs w:val="24"/>
        </w:rPr>
        <w:t>geluaran</w:t>
      </w:r>
      <w:r w:rsidRPr="00BC3FE9">
        <w:rPr>
          <w:rFonts w:ascii="Times New Roman" w:hAnsi="Times New Roman" w:cs="Times New Roman"/>
          <w:sz w:val="24"/>
          <w:szCs w:val="24"/>
        </w:rPr>
        <w:t xml:space="preserve"> Rendah</w:t>
      </w:r>
    </w:p>
    <w:p w14:paraId="619CE0F2" w14:textId="0BF69776" w:rsidR="00A53993" w:rsidRDefault="001C20D2" w:rsidP="00FC785E">
      <w:pPr>
        <w:autoSpaceDE w:val="0"/>
        <w:autoSpaceDN w:val="0"/>
        <w:adjustRightInd w:val="0"/>
        <w:spacing w:after="0" w:line="24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3. Per capita consumption levels of the bottom 40% of the population</w:t>
      </w:r>
    </w:p>
    <w:p w14:paraId="0E1D4C55" w14:textId="77777777" w:rsidR="001C20D2" w:rsidRPr="001C20D2" w:rsidRDefault="001C20D2" w:rsidP="00FC785E">
      <w:pPr>
        <w:autoSpaceDE w:val="0"/>
        <w:autoSpaceDN w:val="0"/>
        <w:adjustRightInd w:val="0"/>
        <w:spacing w:after="0" w:line="240" w:lineRule="auto"/>
        <w:jc w:val="center"/>
        <w:rPr>
          <w:rFonts w:ascii="Times New Roman" w:hAnsi="Times New Roman" w:cs="Times New Roman"/>
          <w:i/>
          <w:iCs/>
          <w:sz w:val="24"/>
          <w:szCs w:val="24"/>
        </w:rPr>
      </w:pPr>
    </w:p>
    <w:p w14:paraId="0B259144" w14:textId="776E13EE" w:rsidR="00CA6E88" w:rsidRPr="00BC3FE9" w:rsidRDefault="00A53993" w:rsidP="00CA6E88">
      <w:pPr>
        <w:autoSpaceDE w:val="0"/>
        <w:autoSpaceDN w:val="0"/>
        <w:adjustRightInd w:val="0"/>
        <w:spacing w:after="0" w:line="480" w:lineRule="auto"/>
        <w:jc w:val="both"/>
        <w:rPr>
          <w:rFonts w:ascii="Times New Roman" w:hAnsi="Times New Roman" w:cs="Times New Roman"/>
          <w:sz w:val="24"/>
          <w:szCs w:val="24"/>
        </w:rPr>
      </w:pPr>
      <w:r w:rsidRPr="00BC3FE9">
        <w:rPr>
          <w:rFonts w:ascii="Times New Roman" w:hAnsi="Times New Roman" w:cs="Times New Roman"/>
          <w:sz w:val="24"/>
          <w:szCs w:val="24"/>
        </w:rPr>
        <w:tab/>
        <w:t xml:space="preserve">Berdasarkan </w:t>
      </w:r>
      <w:r w:rsidR="00CA6E88" w:rsidRPr="00BC3FE9">
        <w:rPr>
          <w:rFonts w:ascii="Times New Roman" w:hAnsi="Times New Roman" w:cs="Times New Roman"/>
          <w:sz w:val="24"/>
          <w:szCs w:val="24"/>
        </w:rPr>
        <w:t>G</w:t>
      </w:r>
      <w:r w:rsidRPr="00BC3FE9">
        <w:rPr>
          <w:rFonts w:ascii="Times New Roman" w:hAnsi="Times New Roman" w:cs="Times New Roman"/>
          <w:sz w:val="24"/>
          <w:szCs w:val="24"/>
        </w:rPr>
        <w:t xml:space="preserve">ambar </w:t>
      </w:r>
      <w:r w:rsidR="00CA6E88" w:rsidRPr="00BC3FE9">
        <w:rPr>
          <w:rFonts w:ascii="Times New Roman" w:hAnsi="Times New Roman" w:cs="Times New Roman"/>
          <w:sz w:val="24"/>
          <w:szCs w:val="24"/>
        </w:rPr>
        <w:t>diatas</w:t>
      </w:r>
      <w:r w:rsidRPr="00BC3FE9">
        <w:rPr>
          <w:rFonts w:ascii="Times New Roman" w:hAnsi="Times New Roman" w:cs="Times New Roman"/>
          <w:sz w:val="24"/>
          <w:szCs w:val="24"/>
        </w:rPr>
        <w:t xml:space="preserve"> </w:t>
      </w:r>
      <w:r w:rsidR="00CA6E88" w:rsidRPr="00BC3FE9">
        <w:rPr>
          <w:rFonts w:ascii="Times New Roman" w:hAnsi="Times New Roman" w:cs="Times New Roman"/>
          <w:sz w:val="24"/>
          <w:szCs w:val="24"/>
        </w:rPr>
        <w:t xml:space="preserve">terlihat perbedaan dalam kondisi sosial-ekonomi antara Kabupaten PALI dengan Kota Palembang dan Provinsi Sumatera Selatan. Tren kemiskinan pada Gambar 1 menunjukkan bahwa Kabupaten PALI memiliki tingkat kemiskinan yang lebih tinggi daripada </w:t>
      </w:r>
      <w:proofErr w:type="spellStart"/>
      <w:r w:rsidR="00D908AE">
        <w:rPr>
          <w:rFonts w:ascii="Times New Roman" w:hAnsi="Times New Roman" w:cs="Times New Roman"/>
          <w:sz w:val="24"/>
          <w:szCs w:val="24"/>
          <w:lang w:val="en-US"/>
        </w:rPr>
        <w:t>Provinsi</w:t>
      </w:r>
      <w:proofErr w:type="spellEnd"/>
      <w:r w:rsidR="00D908AE">
        <w:rPr>
          <w:rFonts w:ascii="Times New Roman" w:hAnsi="Times New Roman" w:cs="Times New Roman"/>
          <w:sz w:val="24"/>
          <w:szCs w:val="24"/>
          <w:lang w:val="en-US"/>
        </w:rPr>
        <w:t xml:space="preserve"> Sumatera Selatan</w:t>
      </w:r>
      <w:r w:rsidR="00CA6E88" w:rsidRPr="00BC3FE9">
        <w:rPr>
          <w:rFonts w:ascii="Times New Roman" w:hAnsi="Times New Roman" w:cs="Times New Roman"/>
          <w:sz w:val="24"/>
          <w:szCs w:val="24"/>
        </w:rPr>
        <w:t>. Ini berarti persentase penduduk yang hidup di bawah garis kemiskinan di Kabupaten PALI cenderung lebih tinggi dibandingkan dengan Kota Palembang selama periode 2017-2022. Hal ini mengindikasikan adanya tantangan dalam mengurangi kemiskinan di Kabupaten PALI.</w:t>
      </w:r>
    </w:p>
    <w:p w14:paraId="4064F8C3" w14:textId="6DA1DA1D" w:rsidR="00CA6E88" w:rsidRPr="00BC3FE9" w:rsidRDefault="00453A9D" w:rsidP="00453A9D">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Kemiskinan dan Indeks Pembangunan Manusia (IPM) memiliki hubungan yang erat. IPM adalah indikator yang digunakan untuk mengukur tingkat pembangunan manusia suatu negara atau wilayah. IPM mencakup beberapa dimensi seperti pendidikan, kesehatan, dan pendapatan. Kemiskinan secara umum dapat mempengaruhi IPM karena ketika seseorang atau sekelompok orang hidup dalam kondisi kemiskinan, mereka mungkin menghadapi keterbatasan akses </w:t>
      </w:r>
      <w:r w:rsidRPr="00BC3FE9">
        <w:rPr>
          <w:rFonts w:ascii="Times New Roman" w:hAnsi="Times New Roman" w:cs="Times New Roman"/>
          <w:sz w:val="24"/>
          <w:szCs w:val="24"/>
        </w:rPr>
        <w:lastRenderedPageBreak/>
        <w:t xml:space="preserve">terhadap pendidikan yang berkualitas, layanan kesehatan yang memadai, dan kesempatan ekonomi yang adil. Hal ini dapat berdampak negatif pada komponen-komponen IPM, seperti tingkat melek huruf, harapan hidup, dan pendapatan per kapita. Berdasarkan </w:t>
      </w:r>
      <w:r w:rsidR="00CA6E88" w:rsidRPr="00BC3FE9">
        <w:rPr>
          <w:rFonts w:ascii="Times New Roman" w:hAnsi="Times New Roman" w:cs="Times New Roman"/>
          <w:sz w:val="24"/>
          <w:szCs w:val="24"/>
        </w:rPr>
        <w:t xml:space="preserve">Gambar 2 </w:t>
      </w:r>
      <w:r w:rsidRPr="00BC3FE9">
        <w:rPr>
          <w:rFonts w:ascii="Times New Roman" w:hAnsi="Times New Roman" w:cs="Times New Roman"/>
          <w:sz w:val="24"/>
          <w:szCs w:val="24"/>
        </w:rPr>
        <w:t>terlihat</w:t>
      </w:r>
      <w:r w:rsidR="00CA6E88" w:rsidRPr="00BC3FE9">
        <w:rPr>
          <w:rFonts w:ascii="Times New Roman" w:hAnsi="Times New Roman" w:cs="Times New Roman"/>
          <w:sz w:val="24"/>
          <w:szCs w:val="24"/>
        </w:rPr>
        <w:t xml:space="preserve"> bahwa Kabupaten PALI memiliki capaian IPM yang lebih rendah dibandingkan dengan Provinsi Sumatera Selatan secara keseluruhan. Hal ini menunjukkan bahwa Kabupaten PALI memiliki tantangan dalam meningkatkan aspek-aspek seperti harapan hidup, akses pendidikan, dan standar hidup yang layak untuk penduduknya.</w:t>
      </w:r>
    </w:p>
    <w:p w14:paraId="5E3B1AF7" w14:textId="4FBF6FF5" w:rsidR="00CA6E88" w:rsidRPr="00BC3FE9" w:rsidRDefault="00CA6E88" w:rsidP="00CA6E88">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Meskipun Kabupaten PALI memiliki tren kemiskinan yang lebih tinggi dan capaian IPM yang lebih rendah, Gambar 3 menyatakan bahwa </w:t>
      </w:r>
      <w:r w:rsidR="00E84BA6" w:rsidRPr="00BC3FE9">
        <w:rPr>
          <w:rFonts w:ascii="Times New Roman" w:hAnsi="Times New Roman" w:cs="Times New Roman"/>
          <w:sz w:val="24"/>
          <w:szCs w:val="24"/>
        </w:rPr>
        <w:t xml:space="preserve">Tingkat Konsumsi Perkapita dari 40% Penduduk Berpengeluaran Rendah di Kabupaten PALI </w:t>
      </w:r>
      <w:r w:rsidRPr="00BC3FE9">
        <w:rPr>
          <w:rFonts w:ascii="Times New Roman" w:hAnsi="Times New Roman" w:cs="Times New Roman"/>
          <w:sz w:val="24"/>
          <w:szCs w:val="24"/>
        </w:rPr>
        <w:t xml:space="preserve">lebih tinggi dibandingkan dengan Provinsi Sumatera Selatan secara keseluruhan. </w:t>
      </w:r>
      <w:r w:rsidR="00E84BA6" w:rsidRPr="00BC3FE9">
        <w:rPr>
          <w:rFonts w:ascii="Times New Roman" w:hAnsi="Times New Roman" w:cs="Times New Roman"/>
          <w:sz w:val="24"/>
          <w:szCs w:val="24"/>
        </w:rPr>
        <w:t>Hal ini dapat mengindikasikan bahwa kelompok penduduk dengan pengeluaran rendah di wilayah tersebut memiliki akses yang lebih baik terhadap sumber daya dan layanan yang mendukung peningkatan konsumsi, seperti lapangan kerja yang layak, akses terhadap pasar, infrastruktur yang memadai, serta program-program pemerintah yang mendukung kesejahteraan masyarakat. Secara umum, laju pertumbuhan ekonomi yang tinggi dapat memberikan dampak positif pada tingkat konsumsi perkapita, termasuk bagi 40% penduduk berpengeluaran rendah.</w:t>
      </w:r>
    </w:p>
    <w:p w14:paraId="4523882C" w14:textId="481114A1" w:rsidR="00E84BA6" w:rsidRPr="00BC3FE9" w:rsidRDefault="00E84BA6" w:rsidP="00C70973">
      <w:pPr>
        <w:autoSpaceDE w:val="0"/>
        <w:autoSpaceDN w:val="0"/>
        <w:adjustRightInd w:val="0"/>
        <w:spacing w:after="0" w:line="480" w:lineRule="auto"/>
        <w:jc w:val="center"/>
        <w:rPr>
          <w:rFonts w:ascii="Times New Roman" w:hAnsi="Times New Roman" w:cs="Times New Roman"/>
          <w:sz w:val="24"/>
          <w:szCs w:val="24"/>
        </w:rPr>
      </w:pPr>
      <w:r w:rsidRPr="00BC3FE9">
        <w:rPr>
          <w:rFonts w:ascii="Times New Roman" w:hAnsi="Times New Roman" w:cs="Times New Roman"/>
          <w:noProof/>
          <w:sz w:val="24"/>
          <w:szCs w:val="24"/>
        </w:rPr>
        <w:lastRenderedPageBreak/>
        <w:drawing>
          <wp:inline distT="0" distB="0" distL="0" distR="0" wp14:anchorId="78A2387D" wp14:editId="0F78A48D">
            <wp:extent cx="3428365" cy="208198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5067" cy="2110347"/>
                    </a:xfrm>
                    <a:prstGeom prst="rect">
                      <a:avLst/>
                    </a:prstGeom>
                    <a:noFill/>
                    <a:ln>
                      <a:noFill/>
                    </a:ln>
                  </pic:spPr>
                </pic:pic>
              </a:graphicData>
            </a:graphic>
          </wp:inline>
        </w:drawing>
      </w:r>
    </w:p>
    <w:p w14:paraId="0FE7C984"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t>Sumber: Badan Pusat Statistik</w:t>
      </w:r>
    </w:p>
    <w:p w14:paraId="14DECB04" w14:textId="59B662D7" w:rsidR="009D5E1E" w:rsidRDefault="009D5E1E" w:rsidP="009D5E1E">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 xml:space="preserve">Gambar </w:t>
      </w:r>
      <w:r w:rsidR="00BC3FE9" w:rsidRPr="00BC3FE9">
        <w:rPr>
          <w:rFonts w:ascii="Times New Roman" w:hAnsi="Times New Roman" w:cs="Times New Roman"/>
          <w:sz w:val="24"/>
          <w:szCs w:val="24"/>
        </w:rPr>
        <w:t>4</w:t>
      </w:r>
      <w:r w:rsidRPr="00BC3FE9">
        <w:rPr>
          <w:rFonts w:ascii="Times New Roman" w:hAnsi="Times New Roman" w:cs="Times New Roman"/>
          <w:sz w:val="24"/>
          <w:szCs w:val="24"/>
        </w:rPr>
        <w:t>. Laju Pertumbuhan Ekonomi Kabupaten PALI</w:t>
      </w:r>
    </w:p>
    <w:p w14:paraId="2C8A788A" w14:textId="59AB954A" w:rsidR="00BC3FE9" w:rsidRDefault="001C20D2" w:rsidP="009D5E1E">
      <w:pPr>
        <w:autoSpaceDE w:val="0"/>
        <w:autoSpaceDN w:val="0"/>
        <w:adjustRightInd w:val="0"/>
        <w:spacing w:after="0" w:line="24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4: Economic Growth Rate of PALI Regency</w:t>
      </w:r>
    </w:p>
    <w:p w14:paraId="268B2EDF" w14:textId="77777777" w:rsidR="001C20D2" w:rsidRPr="001C20D2" w:rsidRDefault="001C20D2" w:rsidP="009D5E1E">
      <w:pPr>
        <w:autoSpaceDE w:val="0"/>
        <w:autoSpaceDN w:val="0"/>
        <w:adjustRightInd w:val="0"/>
        <w:spacing w:after="0" w:line="240" w:lineRule="auto"/>
        <w:jc w:val="center"/>
        <w:rPr>
          <w:rFonts w:ascii="Times New Roman" w:hAnsi="Times New Roman" w:cs="Times New Roman"/>
          <w:i/>
          <w:iCs/>
          <w:sz w:val="24"/>
          <w:szCs w:val="24"/>
        </w:rPr>
      </w:pPr>
    </w:p>
    <w:p w14:paraId="525152B5" w14:textId="25519ED4" w:rsidR="009D5E1E" w:rsidRDefault="00BC3FE9" w:rsidP="00BC3FE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Berdasarkan Gambar 4. Laju Pertumbuhan Ekonomi Kabupaten PALI mulai menurun di tahun 2021-2022 dibandingkan Provinsi Sumatera Selatan. Dalam menghadapi penurunan laju pertumbuhan ekonomi tersebut, perlu dilakukan evaluasi mendalam dan upaya strategis untuk mendorong pertumbuhan ekonomi yang lebih baik di Kabupaten PALI. Ini termasuk pengembangan sektor ekonomi yang potensial, peningkatan investasi, pemberdayaan masyarakat, pembangunan infrastruktur, dan kebijakan yang mendukung pertumbuhan ekonomi yang inklusif dan berkelanjutan terutama dalam sector perikanan.</w:t>
      </w:r>
    </w:p>
    <w:p w14:paraId="2CA65131" w14:textId="290530B4" w:rsidR="00595F55" w:rsidRPr="00BC3FE9" w:rsidRDefault="00595F55" w:rsidP="00CA6E88">
      <w:pPr>
        <w:autoSpaceDE w:val="0"/>
        <w:autoSpaceDN w:val="0"/>
        <w:adjustRightInd w:val="0"/>
        <w:spacing w:after="0" w:line="48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 xml:space="preserve">Kearifan Lokal “Segelurung” Sebagai Inovasi Pengolahan Produk Perikanan </w:t>
      </w:r>
    </w:p>
    <w:p w14:paraId="2C0D9C72" w14:textId="77777777" w:rsidR="00A77A82" w:rsidRPr="00BC3FE9" w:rsidRDefault="00595F55" w:rsidP="00A77A82">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Kearifan lokal "segelurung" merupakan inovasi dalam pengolahan produk perikanan, khususnya ikan air tawar dengan cara memberi bumbu dan kemudian diasap</w:t>
      </w:r>
      <w:r w:rsidR="002958A4" w:rsidRPr="00BC3FE9">
        <w:rPr>
          <w:rFonts w:ascii="Times New Roman" w:hAnsi="Times New Roman" w:cs="Times New Roman"/>
          <w:sz w:val="24"/>
          <w:szCs w:val="24"/>
        </w:rPr>
        <w:t>.</w:t>
      </w:r>
      <w:r w:rsidR="00B3631A" w:rsidRPr="00BC3FE9">
        <w:rPr>
          <w:rFonts w:ascii="Times New Roman" w:hAnsi="Times New Roman" w:cs="Times New Roman"/>
          <w:sz w:val="24"/>
          <w:szCs w:val="24"/>
        </w:rPr>
        <w:t xml:space="preserve"> </w:t>
      </w:r>
      <w:r w:rsidR="00DF70BE" w:rsidRPr="00BC3FE9">
        <w:rPr>
          <w:rFonts w:ascii="Times New Roman" w:hAnsi="Times New Roman" w:cs="Times New Roman"/>
          <w:sz w:val="24"/>
          <w:szCs w:val="24"/>
        </w:rPr>
        <w:t xml:space="preserve">Pengasapan </w:t>
      </w:r>
      <w:r w:rsidR="002958A4" w:rsidRPr="00BC3FE9">
        <w:rPr>
          <w:rFonts w:ascii="Times New Roman" w:hAnsi="Times New Roman" w:cs="Times New Roman"/>
          <w:sz w:val="24"/>
          <w:szCs w:val="24"/>
        </w:rPr>
        <w:t xml:space="preserve">menggunakan tungku pembakaran manual yang terbuat dari semen, batu bata, dan pasir yang </w:t>
      </w:r>
      <w:r w:rsidR="00DF70BE" w:rsidRPr="00BC3FE9">
        <w:rPr>
          <w:rFonts w:ascii="Times New Roman" w:hAnsi="Times New Roman" w:cs="Times New Roman"/>
          <w:sz w:val="24"/>
          <w:szCs w:val="24"/>
        </w:rPr>
        <w:t>asap</w:t>
      </w:r>
      <w:r w:rsidR="002958A4" w:rsidRPr="00BC3FE9">
        <w:rPr>
          <w:rFonts w:ascii="Times New Roman" w:hAnsi="Times New Roman" w:cs="Times New Roman"/>
          <w:sz w:val="24"/>
          <w:szCs w:val="24"/>
        </w:rPr>
        <w:t>nya berasal</w:t>
      </w:r>
      <w:r w:rsidR="00DF70BE" w:rsidRPr="00BC3FE9">
        <w:rPr>
          <w:rFonts w:ascii="Times New Roman" w:hAnsi="Times New Roman" w:cs="Times New Roman"/>
          <w:sz w:val="24"/>
          <w:szCs w:val="24"/>
        </w:rPr>
        <w:t xml:space="preserve"> dari kayu khusus, seperti kayu jati atau kayu bakar yang memiliki sifat aromatik. Proses pengasapan ini bertujuan untuk mengeringkan dan memberikan rasa serta aroma khas pada ikan.</w:t>
      </w:r>
      <w:r w:rsidR="005758FD" w:rsidRPr="00BC3FE9">
        <w:rPr>
          <w:rFonts w:ascii="Times New Roman" w:hAnsi="Times New Roman" w:cs="Times New Roman"/>
          <w:sz w:val="24"/>
          <w:szCs w:val="24"/>
        </w:rPr>
        <w:t xml:space="preserve"> </w:t>
      </w:r>
    </w:p>
    <w:p w14:paraId="5AEFB2D6" w14:textId="3542031F" w:rsidR="004E55FD" w:rsidRPr="00BC3FE9" w:rsidRDefault="00A77A82" w:rsidP="00C70973">
      <w:pPr>
        <w:autoSpaceDE w:val="0"/>
        <w:autoSpaceDN w:val="0"/>
        <w:adjustRightInd w:val="0"/>
        <w:spacing w:after="0" w:line="480" w:lineRule="auto"/>
        <w:jc w:val="center"/>
        <w:rPr>
          <w:rFonts w:ascii="Times New Roman" w:hAnsi="Times New Roman" w:cs="Times New Roman"/>
          <w:sz w:val="24"/>
          <w:szCs w:val="24"/>
        </w:rPr>
      </w:pPr>
      <w:r w:rsidRPr="00BC3FE9">
        <w:rPr>
          <w:rFonts w:ascii="Times New Roman" w:hAnsi="Times New Roman" w:cs="Times New Roman"/>
          <w:noProof/>
          <w:sz w:val="24"/>
          <w:szCs w:val="24"/>
        </w:rPr>
        <w:lastRenderedPageBreak/>
        <w:drawing>
          <wp:inline distT="0" distB="0" distL="0" distR="0" wp14:anchorId="0CB51D75" wp14:editId="7FCF2DB8">
            <wp:extent cx="3440362" cy="1918546"/>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554" cy="1945421"/>
                    </a:xfrm>
                    <a:prstGeom prst="rect">
                      <a:avLst/>
                    </a:prstGeom>
                    <a:noFill/>
                    <a:ln>
                      <a:noFill/>
                    </a:ln>
                  </pic:spPr>
                </pic:pic>
              </a:graphicData>
            </a:graphic>
          </wp:inline>
        </w:drawing>
      </w:r>
    </w:p>
    <w:p w14:paraId="58195E81"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t>Sumber: Badan Pusat Statistik</w:t>
      </w:r>
    </w:p>
    <w:p w14:paraId="49902BA6" w14:textId="4898058C" w:rsidR="00A77A82" w:rsidRDefault="00A77A82" w:rsidP="00A77A82">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 xml:space="preserve">Gambar </w:t>
      </w:r>
      <w:r w:rsidR="009D5E1E" w:rsidRPr="00BC3FE9">
        <w:rPr>
          <w:rFonts w:ascii="Times New Roman" w:hAnsi="Times New Roman" w:cs="Times New Roman"/>
          <w:sz w:val="24"/>
          <w:szCs w:val="24"/>
        </w:rPr>
        <w:t>5</w:t>
      </w:r>
      <w:r w:rsidRPr="00BC3FE9">
        <w:rPr>
          <w:rFonts w:ascii="Times New Roman" w:hAnsi="Times New Roman" w:cs="Times New Roman"/>
          <w:sz w:val="24"/>
          <w:szCs w:val="24"/>
        </w:rPr>
        <w:t>. Perkembangan Produksi Perikanan Kabupaten PALI</w:t>
      </w:r>
    </w:p>
    <w:p w14:paraId="0B19B91C" w14:textId="7B327FA2" w:rsidR="001C20D2" w:rsidRPr="001C20D2" w:rsidRDefault="001C20D2" w:rsidP="00A77A82">
      <w:pPr>
        <w:autoSpaceDE w:val="0"/>
        <w:autoSpaceDN w:val="0"/>
        <w:adjustRightInd w:val="0"/>
        <w:spacing w:after="0" w:line="24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5: Development of PALI Regency's Fishery Production</w:t>
      </w:r>
    </w:p>
    <w:p w14:paraId="42AC36EC" w14:textId="77777777" w:rsidR="001C20D2" w:rsidRDefault="001C20D2" w:rsidP="00A77A82">
      <w:pPr>
        <w:autoSpaceDE w:val="0"/>
        <w:autoSpaceDN w:val="0"/>
        <w:adjustRightInd w:val="0"/>
        <w:spacing w:after="0" w:line="480" w:lineRule="auto"/>
        <w:ind w:firstLine="720"/>
        <w:jc w:val="both"/>
        <w:rPr>
          <w:rFonts w:ascii="Times New Roman" w:hAnsi="Times New Roman" w:cs="Times New Roman"/>
          <w:sz w:val="24"/>
          <w:szCs w:val="24"/>
        </w:rPr>
      </w:pPr>
    </w:p>
    <w:p w14:paraId="14F8C49E" w14:textId="5B576435" w:rsidR="00A77A82" w:rsidRPr="00BC3FE9" w:rsidRDefault="00A77A82" w:rsidP="00A77A82">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Produksi perikanan pada tahun 2020 di Kabupaten Penukal Abab Lematang Ilir berjumlah 1.876,35 ton. Sedangkan total konsumsi ikan pada tahun 2020 berjumlah 7.155,26 ton. Selama periode tahun 2019-2020 produksi ikan di Kabupaten Penukal Abab Lematang Ilir selalu mengalami peningkatan dari tahun ke tahun.</w:t>
      </w:r>
    </w:p>
    <w:p w14:paraId="108A5B2B" w14:textId="77777777" w:rsidR="00A77A82" w:rsidRPr="00BC3FE9" w:rsidRDefault="00A77A82" w:rsidP="009D5E1E">
      <w:pPr>
        <w:autoSpaceDE w:val="0"/>
        <w:autoSpaceDN w:val="0"/>
        <w:adjustRightInd w:val="0"/>
        <w:spacing w:after="0" w:line="480" w:lineRule="auto"/>
        <w:jc w:val="center"/>
        <w:rPr>
          <w:rFonts w:ascii="Times New Roman" w:hAnsi="Times New Roman" w:cs="Times New Roman"/>
          <w:sz w:val="24"/>
          <w:szCs w:val="24"/>
        </w:rPr>
      </w:pPr>
      <w:r w:rsidRPr="00BC3FE9">
        <w:rPr>
          <w:rFonts w:ascii="Times New Roman" w:hAnsi="Times New Roman" w:cs="Times New Roman"/>
          <w:noProof/>
          <w:sz w:val="24"/>
          <w:szCs w:val="24"/>
        </w:rPr>
        <w:drawing>
          <wp:inline distT="0" distB="0" distL="0" distR="0" wp14:anchorId="34D766AF" wp14:editId="6DCACE8C">
            <wp:extent cx="3138805" cy="1904032"/>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5805" cy="1962873"/>
                    </a:xfrm>
                    <a:prstGeom prst="rect">
                      <a:avLst/>
                    </a:prstGeom>
                    <a:noFill/>
                    <a:ln>
                      <a:noFill/>
                    </a:ln>
                  </pic:spPr>
                </pic:pic>
              </a:graphicData>
            </a:graphic>
          </wp:inline>
        </w:drawing>
      </w:r>
    </w:p>
    <w:p w14:paraId="0844B0A7" w14:textId="77777777" w:rsidR="001C20D2" w:rsidRPr="00BC3FE9" w:rsidRDefault="001C20D2" w:rsidP="001C20D2">
      <w:pPr>
        <w:autoSpaceDE w:val="0"/>
        <w:autoSpaceDN w:val="0"/>
        <w:adjustRightInd w:val="0"/>
        <w:spacing w:after="0" w:line="240" w:lineRule="auto"/>
        <w:ind w:firstLine="720"/>
        <w:rPr>
          <w:rFonts w:ascii="Times New Roman" w:hAnsi="Times New Roman" w:cs="Times New Roman"/>
          <w:sz w:val="24"/>
          <w:szCs w:val="24"/>
        </w:rPr>
      </w:pPr>
      <w:r w:rsidRPr="00BC3FE9">
        <w:rPr>
          <w:rFonts w:ascii="Times New Roman" w:hAnsi="Times New Roman" w:cs="Times New Roman"/>
          <w:sz w:val="24"/>
          <w:szCs w:val="24"/>
        </w:rPr>
        <w:t>Sumber: Badan Pusat Statistik</w:t>
      </w:r>
    </w:p>
    <w:p w14:paraId="267B8C4B" w14:textId="42C7C78F" w:rsidR="00A77A82" w:rsidRPr="00BC3FE9" w:rsidRDefault="00A77A82" w:rsidP="00A77A82">
      <w:pPr>
        <w:autoSpaceDE w:val="0"/>
        <w:autoSpaceDN w:val="0"/>
        <w:adjustRightInd w:val="0"/>
        <w:spacing w:after="0" w:line="240" w:lineRule="auto"/>
        <w:jc w:val="center"/>
        <w:rPr>
          <w:rFonts w:ascii="Times New Roman" w:hAnsi="Times New Roman" w:cs="Times New Roman"/>
          <w:sz w:val="24"/>
          <w:szCs w:val="24"/>
        </w:rPr>
      </w:pPr>
      <w:r w:rsidRPr="00BC3FE9">
        <w:rPr>
          <w:rFonts w:ascii="Times New Roman" w:hAnsi="Times New Roman" w:cs="Times New Roman"/>
          <w:sz w:val="24"/>
          <w:szCs w:val="24"/>
        </w:rPr>
        <w:t xml:space="preserve">Gambar </w:t>
      </w:r>
      <w:r w:rsidR="009D5E1E" w:rsidRPr="00BC3FE9">
        <w:rPr>
          <w:rFonts w:ascii="Times New Roman" w:hAnsi="Times New Roman" w:cs="Times New Roman"/>
          <w:sz w:val="24"/>
          <w:szCs w:val="24"/>
        </w:rPr>
        <w:t>6</w:t>
      </w:r>
      <w:r w:rsidRPr="00BC3FE9">
        <w:rPr>
          <w:rFonts w:ascii="Times New Roman" w:hAnsi="Times New Roman" w:cs="Times New Roman"/>
          <w:sz w:val="24"/>
          <w:szCs w:val="24"/>
        </w:rPr>
        <w:t xml:space="preserve">. Total Produksi dan Kebutuhan Konsumsi Ikan Kabupaten PALI </w:t>
      </w:r>
    </w:p>
    <w:p w14:paraId="50A6A57E" w14:textId="2DC59ED1" w:rsidR="00A77A82" w:rsidRPr="001C20D2" w:rsidRDefault="001C20D2" w:rsidP="001C20D2">
      <w:pPr>
        <w:autoSpaceDE w:val="0"/>
        <w:autoSpaceDN w:val="0"/>
        <w:adjustRightInd w:val="0"/>
        <w:spacing w:after="0" w:line="480" w:lineRule="auto"/>
        <w:jc w:val="center"/>
        <w:rPr>
          <w:rFonts w:ascii="Times New Roman" w:hAnsi="Times New Roman" w:cs="Times New Roman"/>
          <w:i/>
          <w:iCs/>
          <w:sz w:val="24"/>
          <w:szCs w:val="24"/>
        </w:rPr>
      </w:pPr>
      <w:r w:rsidRPr="001C20D2">
        <w:rPr>
          <w:rFonts w:ascii="Times New Roman" w:hAnsi="Times New Roman" w:cs="Times New Roman"/>
          <w:i/>
          <w:iCs/>
          <w:sz w:val="24"/>
          <w:szCs w:val="24"/>
        </w:rPr>
        <w:t>Figure 6. Total Production and Consumption Needs of Fish in PALI Regency</w:t>
      </w:r>
    </w:p>
    <w:p w14:paraId="6646AFEC" w14:textId="74D7CB11" w:rsidR="00DF70BE" w:rsidRPr="00BC3FE9" w:rsidRDefault="004E55FD" w:rsidP="00A77A82">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Berdasarkan </w:t>
      </w:r>
      <w:r w:rsidR="004C24E1" w:rsidRPr="00BC3FE9">
        <w:rPr>
          <w:rFonts w:ascii="Times New Roman" w:hAnsi="Times New Roman" w:cs="Times New Roman"/>
          <w:sz w:val="24"/>
          <w:szCs w:val="24"/>
        </w:rPr>
        <w:t>G</w:t>
      </w:r>
      <w:r w:rsidRPr="00BC3FE9">
        <w:rPr>
          <w:rFonts w:ascii="Times New Roman" w:hAnsi="Times New Roman" w:cs="Times New Roman"/>
          <w:sz w:val="24"/>
          <w:szCs w:val="24"/>
        </w:rPr>
        <w:t xml:space="preserve">ambar </w:t>
      </w:r>
      <w:r w:rsidR="009D5E1E" w:rsidRPr="00BC3FE9">
        <w:rPr>
          <w:rFonts w:ascii="Times New Roman" w:hAnsi="Times New Roman" w:cs="Times New Roman"/>
          <w:sz w:val="24"/>
          <w:szCs w:val="24"/>
        </w:rPr>
        <w:t>6</w:t>
      </w:r>
      <w:r w:rsidRPr="00BC3FE9">
        <w:rPr>
          <w:rFonts w:ascii="Times New Roman" w:hAnsi="Times New Roman" w:cs="Times New Roman"/>
          <w:sz w:val="24"/>
          <w:szCs w:val="24"/>
        </w:rPr>
        <w:t xml:space="preserve">, kebutuhan konsumsi komoditas perikanan tahun 2020 di Kab Pali secara umum jauh lebih tinggi dibanding suplainya, sehingga </w:t>
      </w:r>
      <w:r w:rsidRPr="00BC3FE9">
        <w:rPr>
          <w:rFonts w:ascii="Times New Roman" w:hAnsi="Times New Roman" w:cs="Times New Roman"/>
          <w:sz w:val="24"/>
          <w:szCs w:val="24"/>
        </w:rPr>
        <w:lastRenderedPageBreak/>
        <w:t>“Segelurung” sebagai inovasi pengolahan produk perikanan sangat potensial guna memenuhi kebutuhan konsumsi tersebut.</w:t>
      </w:r>
    </w:p>
    <w:p w14:paraId="1F300352" w14:textId="77777777" w:rsidR="00DF70BE" w:rsidRPr="00BC3FE9" w:rsidRDefault="00DF70BE" w:rsidP="00DF70B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Segelurung memiliki nilai kearifan lokal yang turun-temurun di kalangan masyarakat pedesaan. Beberapa nilai kearifan lokal yang terkait dengan segelurung adalah sebagai berikut:</w:t>
      </w:r>
    </w:p>
    <w:p w14:paraId="0FFC21C1" w14:textId="77777777" w:rsidR="00DF70BE" w:rsidRPr="00BC3FE9" w:rsidRDefault="00DF70BE" w:rsidP="00DF70BE">
      <w:pPr>
        <w:pStyle w:val="ListParagraph"/>
        <w:numPr>
          <w:ilvl w:val="0"/>
          <w:numId w:val="15"/>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Penggunaan bahan-bahan alami: Dalam proses segelurung, masyarakat pedesaan menggunakan bahan-bahan alami seperti rempah-rempah dan bumbu-bumbu tradisional yang tersedia di sekitar lingkungan mereka. Hal ini mencerminkan pemahaman dan pengetahuan masyarakat tentang keanekaragaman sumber daya alam yang dapat dimanfaatkan secara berkelanjutan.</w:t>
      </w:r>
    </w:p>
    <w:p w14:paraId="56A7AF18" w14:textId="77777777" w:rsidR="00DF70BE" w:rsidRPr="00BC3FE9" w:rsidRDefault="00DF70BE" w:rsidP="00DF70BE">
      <w:pPr>
        <w:pStyle w:val="ListParagraph"/>
        <w:numPr>
          <w:ilvl w:val="0"/>
          <w:numId w:val="15"/>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Pengetahuan tentang waktu dan teknik pengawetan: Masyarakat pedesaan memiliki pengetahuan yang mendalam tentang waktu yang tepat untuk mengawetkan ikan dengan segelurung. Mereka mengetahui teknik dan prosedur yang baik dalam memberikan bumbu dan proses pengasapan agar ikan dapat bertahan lebih lama dan tetap memiliki cita rasa yang khas.</w:t>
      </w:r>
    </w:p>
    <w:p w14:paraId="79F51E95" w14:textId="77777777" w:rsidR="00DF70BE" w:rsidRPr="00BC3FE9" w:rsidRDefault="00DF70BE" w:rsidP="00DF70BE">
      <w:pPr>
        <w:pStyle w:val="ListParagraph"/>
        <w:numPr>
          <w:ilvl w:val="0"/>
          <w:numId w:val="15"/>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Warisan budaya dan identitas lokal: Segelurung merupakan bagian dari warisan budaya dan identitas lokal masyarakat pedesaan. Metode ini terkait dengan tradisi, adat istiadat, dan kehidupan sehari-hari mereka. Melalui segelurung, mereka menjaga dan mempertahankan kearifan lokal yang menjadi ciri khas budaya mereka.</w:t>
      </w:r>
    </w:p>
    <w:p w14:paraId="4BA3256D" w14:textId="77777777" w:rsidR="00DF70BE" w:rsidRPr="00BC3FE9" w:rsidRDefault="00DF70BE" w:rsidP="00DF70BE">
      <w:pPr>
        <w:pStyle w:val="ListParagraph"/>
        <w:numPr>
          <w:ilvl w:val="0"/>
          <w:numId w:val="15"/>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 xml:space="preserve">Keberlanjutan dan pengelolaan sumber daya: Metode segelurung mengajarkan nilai-nilai keberlanjutan dalam pengelolaan sumber daya ikan. Masyarakat pedesaan memahami pentingnya menjaga keseimbangan ekosistem dan </w:t>
      </w:r>
      <w:r w:rsidRPr="00BC3FE9">
        <w:rPr>
          <w:rFonts w:ascii="Times New Roman" w:hAnsi="Times New Roman" w:cs="Times New Roman"/>
          <w:sz w:val="24"/>
          <w:szCs w:val="24"/>
        </w:rPr>
        <w:lastRenderedPageBreak/>
        <w:t>memanfaatkan sumber daya ikan secara bijak agar tetap berkelanjutan untuk generasi mendatang.</w:t>
      </w:r>
    </w:p>
    <w:p w14:paraId="4CDFA4A2" w14:textId="77777777" w:rsidR="00DF70BE" w:rsidRPr="00BC3FE9" w:rsidRDefault="00DF70BE" w:rsidP="00DF70BE">
      <w:pPr>
        <w:pStyle w:val="ListParagraph"/>
        <w:numPr>
          <w:ilvl w:val="0"/>
          <w:numId w:val="15"/>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Melalui nilai-nilai kearifan lokal ini, segelurung menjadi lebih dari sekadar metode pengawetan ikan. Ia mencerminkan hubungan harmonis antara manusia dan alam, serta menjaga keberlanjutan budaya dan lingkungan di pedesaan. Masyarakat pedesaan yang mempraktikkan segelurung juga berkontribusi dalam melestarikan kearifan lokal dan memperkaya keanekaragaman kuliner tradisional.</w:t>
      </w:r>
    </w:p>
    <w:p w14:paraId="24F26149" w14:textId="1C4E8C5B" w:rsidR="00595F55" w:rsidRPr="00BC3FE9" w:rsidRDefault="00B3631A"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Proses pengawetan makanan merupakan salah satu proses yang banyak dilakukan di masyarakat, terutama pada makanan yang mudah mengalami pembusukan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{"citationItems":[{"id":"ITEM-1","itemData":{"abstract":"Asap cair (Liquid Smoke) adalah hasil dari proses distilasi atau pengembunan dari uap hasil pembakaran tidak langsung maupun langsung dari bahan yang banyak mengandung karbon serta senyawa lainnya. Tiga senyawa utama yang terkandung dalam asap cair yaitu senyawa fenol, senyawa karbonil, dan senyawa asam. Kandungan senyawa-senyawa kimia dalam asap cair memiliki kemampuan untuk mengawetkan dan memberikan warna serta rasa untuk produk makana seperti ikan. Ikan nila (Oreochormis sp) adalah salah satu jenis ikan budidaya air tawar yang banyak disukai oleh masyarakan dan memiliki kandungan protein yang cukup tinggi. Salah satu proses untuk mempertahankan kadar protein ikan Nila selama penyimpanan ialah dengan merendam ikan Nila dalam asap cair food grade. Analisa yang dilakukan untuk melihat pengaruh pemberian asap cair food grade pada ikan nila yaitu analisia secara kimia (pH), mikrobiologi (kadar protein dan jumlah total bakteri) dan fisik. Berdasarkan hasil penelitian ini menunjukkan bahwa pengawetan menggunakan asap cair food grade dengan variasi konsentrasi diperoleh kondisi terbaik pada saat konsentrasi asap cair food grade 15% dengan kadar protein 16,96% dan jumlah total bakteri 9,1 x 105. Sementara untuk pengawetan menggunakan asap cair food grade dengan konsentrasi 10%, kondisi terbaik adalah penyimpanan ikan nila selama 3 jam dengan kadar protein 15,92% dan jumlah total bakteri 4,5 x 106.","author":[{"dropping-particle":"","family":"Jamilatun","given":"Siti","non-dropping-particle":"","parse-names":false,"suffix":""},{"dropping-particle":"","family":"Salamah","given":"Siti","non-dropping-particle":"","parse-names":false,"suffix":""},{"dropping-particle":"","family":"Aslihati","given":"Lia","non-dropping-particle":"","parse-names":false,"suffix":""},{"dropping-particle":"","family":"Suminar","given":"Widya","non-dropping-particle":"","parse-names":false,"suffix":""}],"container-title":"Seminar Nasional Sains dan Teknologi","id":"ITEM-1","issue":"November 2016","issued":{"date-parts":[["2016"]]},"page":"1-8","title":"Pengaruh Perendaman Ikan Nila Dengan Asap Cair ( Liquid Smoke ) Terhadap Daya Simpan","type":"article-journal"},"uris":["http://www.mendeley.com/documents/?uuid=25bc00c1-36d7-463f-8937-f780d2e46839"]}],"mendeley":{"formattedCitation":"(Jamilatun et al., 2016)","plainTextFormattedCitation":"(Jamilatun et al., 2016)","previouslyFormattedCitation":"(Jamilatun et al., 2016)"},"properties":{"noteIndex":0},"schema":"https://github.com/citation-style-language/schema/raw/master/csl-citation.json"}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(Jamilatun et al., 2016)</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w:t>
      </w:r>
      <w:r w:rsidR="00595F55" w:rsidRPr="00BC3FE9">
        <w:rPr>
          <w:rFonts w:ascii="Times New Roman" w:hAnsi="Times New Roman" w:cs="Times New Roman"/>
          <w:sz w:val="24"/>
          <w:szCs w:val="24"/>
        </w:rPr>
        <w:t>Praktik ini telah ada dan diwariskan secara turun-temurun di kalangan masyarakat pedesaan.</w:t>
      </w:r>
      <w:r w:rsidR="00DF70BE" w:rsidRPr="00BC3FE9">
        <w:rPr>
          <w:rFonts w:ascii="Times New Roman" w:hAnsi="Times New Roman" w:cs="Times New Roman"/>
          <w:sz w:val="24"/>
          <w:szCs w:val="24"/>
        </w:rPr>
        <w:t xml:space="preserve"> Meskipun saat ini terdapat metode pengawetan modern yang lebih efisien dan praktis, segelurung masih tetap diapresiasi sebagai bagian dari warisan budaya dan kearifan lokal di pedesaan.</w:t>
      </w:r>
    </w:p>
    <w:p w14:paraId="1C0F09BD" w14:textId="77777777" w:rsidR="00DF70BE" w:rsidRPr="00BC3FE9" w:rsidRDefault="00595F55"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Segelurung memiliki beberapa keunggulan dan manfaat sebagai inovasi pengolahan produk perikanan</w:t>
      </w:r>
      <w:r w:rsidR="00DF70BE" w:rsidRPr="00BC3FE9">
        <w:rPr>
          <w:rFonts w:ascii="Times New Roman" w:hAnsi="Times New Roman" w:cs="Times New Roman"/>
          <w:sz w:val="24"/>
          <w:szCs w:val="24"/>
        </w:rPr>
        <w:t xml:space="preserve"> yaitu:</w:t>
      </w:r>
    </w:p>
    <w:p w14:paraId="4B41E1A4" w14:textId="15807D1B" w:rsidR="00595F55" w:rsidRPr="00BC3FE9" w:rsidRDefault="00DF70BE" w:rsidP="001B4008">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S</w:t>
      </w:r>
      <w:r w:rsidR="00595F55" w:rsidRPr="00BC3FE9">
        <w:rPr>
          <w:rFonts w:ascii="Times New Roman" w:hAnsi="Times New Roman" w:cs="Times New Roman"/>
          <w:sz w:val="24"/>
          <w:szCs w:val="24"/>
        </w:rPr>
        <w:t>egelurung dapat meningkatkan daya tahan ikan, sehingga memungkinkan ikan dapat bertahan lebih lama tanpa rusak. Hal ini penting dalam konteks pedesaan, di mana akses ke pasar mungkin terbatas dan distribusi produk perikanan memerlukan waktu yang lebih lama.</w:t>
      </w:r>
      <w:r w:rsidRPr="00BC3FE9">
        <w:rPr>
          <w:rFonts w:ascii="Times New Roman" w:hAnsi="Times New Roman" w:cs="Times New Roman"/>
          <w:sz w:val="24"/>
          <w:szCs w:val="24"/>
        </w:rPr>
        <w:t xml:space="preserve"> Makanan   memiliki </w:t>
      </w:r>
      <w:r w:rsidRPr="00BC3FE9">
        <w:rPr>
          <w:rFonts w:ascii="Times New Roman" w:hAnsi="Times New Roman" w:cs="Times New Roman"/>
          <w:i/>
          <w:iCs/>
          <w:sz w:val="24"/>
          <w:szCs w:val="24"/>
        </w:rPr>
        <w:t>soft   power</w:t>
      </w:r>
      <w:r w:rsidRPr="00BC3FE9">
        <w:rPr>
          <w:rFonts w:ascii="Times New Roman" w:hAnsi="Times New Roman" w:cs="Times New Roman"/>
          <w:sz w:val="24"/>
          <w:szCs w:val="24"/>
        </w:rPr>
        <w:t xml:space="preserve"> yang   bisa menunjukkan   jati   diri   dan   identitas   suatu bangsa   ditinjau   dari   nilai   gastronomi   dari makanan tersebut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{"citationItems":[{"id":"ITEM-1","itemData":{"author":[{"dropping-particle":"","family":"Sari","given":"Wiwik Nirmala","non-dropping-particle":"","parse-names":false,"suffix":""},{"dropping-particle":"","family":"Gadu","given":"Primus","non-dropping-particle":"","parse-names":false,"suffix":""},{"dropping-particle":"","family":"Mahsun","given":"","non-dropping-particle":"","parse-names":false,"suffix":""}],"container-title":"Jurnal Bina PatriaBina Patria","id":"ITEM-1","issue":"9","issued":{"date-parts":[["2023"]]},"page":"2075-2096","title":"Wisata Gastronomi: Mengenal Budaya Dan Sejarah Melalui Makanan Lokal ‘Sate Rembiga’ Di Mataram","type":"article-journal","volume":"17"},"uris":["http://www.mendeley.com/documents/?uuid=8f1eda7a-d89e-44e8-9ddd-836e56b9fdec"]}],"mendeley":{"formattedCitation":"(Sari et al., 2023)","plainTextFormattedCitation":"(Sari et al., 2023)","previouslyFormattedCitation":"(Sari et al., 2023)"},"properties":{"noteIndex":0},"schema":"https://github.com/citation-style-language/schema/raw/master/csl-citation.json"}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(Sari et al., 2023)</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w:t>
      </w:r>
    </w:p>
    <w:p w14:paraId="0245880C" w14:textId="2F7EB253" w:rsidR="00DF70BE" w:rsidRPr="00BC3FE9" w:rsidRDefault="00DF70BE" w:rsidP="001B4008">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S</w:t>
      </w:r>
      <w:r w:rsidR="00595F55" w:rsidRPr="00BC3FE9">
        <w:rPr>
          <w:rFonts w:ascii="Times New Roman" w:hAnsi="Times New Roman" w:cs="Times New Roman"/>
          <w:sz w:val="24"/>
          <w:szCs w:val="24"/>
        </w:rPr>
        <w:t xml:space="preserve">egelurung memberikan rasa dan aroma khas pada ikan. Bumbu yang digunakan dalam proses segelurung memberikan cita rasa yang khas dan </w:t>
      </w:r>
      <w:r w:rsidR="00595F55" w:rsidRPr="00BC3FE9">
        <w:rPr>
          <w:rFonts w:ascii="Times New Roman" w:hAnsi="Times New Roman" w:cs="Times New Roman"/>
          <w:sz w:val="24"/>
          <w:szCs w:val="24"/>
        </w:rPr>
        <w:lastRenderedPageBreak/>
        <w:t>meningkatkan nilai sensori produk perikanan. Ini dapat memberikan kepuasan bagi konsumen dan meningkatkan daya saing produk perikanan lokal.</w:t>
      </w:r>
      <w:r w:rsidRPr="00BC3FE9">
        <w:rPr>
          <w:rFonts w:ascii="Times New Roman" w:hAnsi="Times New Roman" w:cs="Times New Roman"/>
          <w:sz w:val="24"/>
          <w:szCs w:val="24"/>
        </w:rPr>
        <w:t xml:space="preserve"> Budaya lokal dan seni kuliner merupakan komoditas berharga yang mendukung pengembangan pariwisata dan pertumbuhan sektor kreatif, menjadi mesin baru bagi perekonomian nasional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{"citationItems":[{"id":"ITEM-1","itemData":{"DOI":"10.2991/aebmr.k.211225.004","abstract":"… the confectionery industry that has … creative industry sector because following the craft and fashion sectors, it has a significant multiplier effect on the development of the creative industry […","author":[{"dropping-particle":"","family":"Saksono","given":"Herie","non-dropping-particle":"","parse-names":false,"suffix":""},{"dropping-particle":"","family":"Hidayat","given":"Bachtari Alam","non-dropping-particle":"","parse-names":false,"suffix":""},{"dropping-particle":"","family":"Yuliana","given":"Evi","non-dropping-particle":"","parse-names":false,"suffix":""},{"dropping-particle":"","family":"Wicaksono","given":"Baskoro","non-dropping-particle":"","parse-names":false,"suffix":""},{"dropping-particle":"","family":"Afriyanni","given":"","non-dropping-particle":"","parse-names":false,"suffix":""},{"dropping-particle":"","family":"Wulandari","given":"Sekar Nur","non-dropping-particle":"","parse-names":false,"suffix":""},{"dropping-particle":"","family":"Momon","given":"Momon","non-dropping-particle":"","parse-names":false,"suffix":""},{"dropping-particle":"","family":"Matara","given":"Kusmawaty","non-dropping-particle":"","parse-names":false,"suffix":""},{"dropping-particle":"","family":"Amri","given":"Nanda Hasanul","non-dropping-particle":"","parse-names":false,"suffix":""}],"container-title":"Proceedings of the International Conference on Sustainable Innovation Track Accounting and Management Sciences (ICOSIAMS 2021)","id":"ITEM-1","issue":"Icosiams 2021","issued":{"date-parts":[["2022"]]},"page":"22-25","title":"The Impact of Tourism and The Creative Industry on The Economy of The Community","type":"article-journal","volume":"201"},"uris":["http://www.mendeley.com/documents/?uuid=1e2c9343-f2d0-4702-b2f6-e6bf15b49ba5"]}],"mendeley":{"formattedCitation":"(Saksono et al., 2022)","plainTextFormattedCitation":"(Saksono et al., 2022)","previouslyFormattedCitation":"(Saksono et al., 2022)"},"properties":{"noteIndex":0},"schema":"https://github.com/citation-style-language/schema/raw/master/csl-citation.json"}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(Saksono et al., 2022)</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w:t>
      </w:r>
    </w:p>
    <w:p w14:paraId="15154EEC" w14:textId="2D603DC9" w:rsidR="00DF70BE" w:rsidRPr="00BC3FE9" w:rsidRDefault="00DF70BE" w:rsidP="001B4008">
      <w:pPr>
        <w:pStyle w:val="ListParagraph"/>
        <w:numPr>
          <w:ilvl w:val="0"/>
          <w:numId w:val="24"/>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S</w:t>
      </w:r>
      <w:r w:rsidR="00595F55" w:rsidRPr="00BC3FE9">
        <w:rPr>
          <w:rFonts w:ascii="Times New Roman" w:hAnsi="Times New Roman" w:cs="Times New Roman"/>
          <w:sz w:val="24"/>
          <w:szCs w:val="24"/>
        </w:rPr>
        <w:t>egelurung dapat menjadi salah satu cara yang berkelanjutan untuk mengawetkan ikan dan memanfaatkan sumberdaya ikan yang tersedia di lingkungan setempat. Dengan menggunakan metode pengawetan tradisional seperti segelurung, masyarakat dapat mengurangi pemborosan dan memanfaatkan ikan secara maksimal.</w:t>
      </w:r>
      <w:r w:rsidRPr="00BC3FE9">
        <w:rPr>
          <w:rFonts w:ascii="Times New Roman" w:hAnsi="Times New Roman" w:cs="Times New Roman"/>
          <w:sz w:val="24"/>
          <w:szCs w:val="24"/>
        </w:rPr>
        <w:t xml:space="preserve"> Segelurung dikembangkan dengan memanfaatkan ketersediaan sumber daya alam sungai ataupun hasil budidaya berupa ikan jenis patin, lele, nila dan sebagainya yang dapat mencerminkan hubungan yang erat antara masyarakat dengan lingkungan. Diversifikasi produk pada nila konsumsi merupakan tantangan ekonomi yang cukup penting karena konsumen dalam negeri lebih menyukai ikan nila hidup dibandingkan dengan nila olahan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{"citationItems":[{"id":"ITEM-1","itemData":{"ISSN":"1979-6366","abstract":"Kontribusi perikanan budidaya termasuk ikan nila terhadap ekonomi perikanan dan ekonomi nasional, menunjukkan nilai strategis dengan Nilai Tukar Pembudidaya Ikan mencapai 99,72. Khususnya kontribusi komoditas nila mencapai 30,72 % dari total produksi ikan bersirip nasional tahun 2015. Hasil analisis menunjukkan bahwa strategi jangka pendek yang diperlukan adalah penerapan tehnik budidaya yang efisien pada komoditas nila unggul merupakan kebutuhan mendesak untuk mencapai produktivitas yang kompetitif. Strategi jangka menengah yang perlu dipertimbangkan adalah pemanfaatan tambak darat untuk budidaya nila sebagai upaya perluasan lahan budidaya selain kolam dan karamba jaring apung yang telah eksis. Kebutuhan induk unggul nila dapat di produksi secara massal melalui beberapa brodstock center milik pemerintah maupun perusahaan swasta yang telah beroperasi. Antisipasi kebijakan dalam merespon Inpres No.7 Tahun 2016 adalah pengembangan industri pakan ikan skala kecil dan pemanfaatan induk unggul dalam perspektif pertumbuhan dan perluasan yang mencakup dua aspek kebijakan sebagai berikut : (a) Pengembangan produksi berbasis potensi pasar yang dikomplemen dengan perbaikan sistem budidaya ikan, dan (b) Pengembangan inovasi kelembagaan dan sistem insentif dalam mendukung ketersediaan dan akses sarana produksi utama pada usaha budidaya nila skala kecil. The contribution of aquaculture including tilapia to fishery economy and national economy shows strategic value with Fisheries Term of Trade reaching 99.72. Especially the contribution of tilapia commodities reaches 30.72% of the total national finned fish production in 2015.Result of the analysis showed that application of efficient cultivation techniques to superior tilapia commodities is a short-term strategy to achieve competitive productivity. The medium-term strategy is the use of terrestrial ponds for tilapia cultivation as an effort to expand cultivation land in addition to ponds and floating net cages that already exist. The needs of superior tilapia parents can be mass produced through several government broodstock centers and private companies that have been operating. Anticipation of policies in responding to Presidential Decree No.7 of 2016 is the development of small-scale fish feed industry and utilization of superior broodstock in the perspective of growth and expansion which includes two aspects of policy as follows : (a) Development of market-based potential production that is complemented by impro…","author":[{"dropping-particle":"","family":"Hadie","given":"Lies Emmawati","non-dropping-particle":"","parse-names":false,"suffix":""},{"dropping-particle":"","family":"Kusnendar","given":"Endhany","non-dropping-particle":"","parse-names":false,"suffix":""},{"dropping-particle":"","family":"Priono","given":"Bambang","non-dropping-particle":"","parse-names":false,"suffix":""}],"container-title":"Jurnal Kebijakan Perikanan Indonesia","id":"ITEM-1","issue":"2","issued":{"date-parts":[["2018"]]},"page":"75-85","title":"Strategi dan Kebijakan Produksi pada Budidaya Ikan Nila Berdaya Saing","type":"article-journal","volume":"10"},"uris":["http://www.mendeley.com/documents/?uuid=d32087b0-68be-4bd6-ae73-7754a4f5c670"]}],"mendeley":{"formattedCitation":"(Hadie et al., 2018)","plainTextFormattedCitation":"(Hadie et al., 2018)","previouslyFormattedCitation":"(Hadie et al., 2018)"},"properties":{"noteIndex":0},"schema":"https://github.com/citation-style-language/schema/raw/master/csl-citation.json"}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(Hadie et al., 2018)</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w:t>
      </w:r>
    </w:p>
    <w:p w14:paraId="604CC655" w14:textId="77777777" w:rsidR="00DF70BE" w:rsidRPr="00BC3FE9" w:rsidRDefault="00DF70BE" w:rsidP="00DF70B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Penting untuk melestarikan dan mempromosikan makanan tradisional sebagai bagian dari kearifan lokal, karena mereka tidak hanya mencerminkan kekayaan budaya suatu daerah, tetapi juga dapat berperan dalam penguatan identitas masyarakat, pengembangan ekonomi lokal, dan pelestarian lingkungan. Ikan merupakan salah satu bahan pangan hewani yang kaya akan protein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{"citationItems":[{"id":"ITEM-1","itemData":{"DOI":"10.15578/jkpi.3.2.2011.135-144","ISSN":"1979-6366","abstract":"Pesatnya kegiatan penangkapan ikan bilih endemik di Danau Singkarak, sudah mengindikasikan penurunan populasi dan ukuran ikan tersebut. Oleh karena itu perlu dikelola agar dapat dimanfaatkan secara berkelanjutan. Salah satu alternatif pengelolaannya adalah berbasis kearifan lokal. Untuk itu diperlukan kebijakan pengelolaan ikan bilih berbasis kearifan lokal yang ada pada masyarakat nelayan. berdasarkan analisis SWOT dari sembilan strategi yang diperoleh, maka tiga strategi yang menjadi prioritas utama pengelolaan ikan bilih yaitu (1) pengelolaan penangkapan ikan berbasis kearifan lokal dengan nilai manfaat 0,518, (2) pengelolaan habitat ikan melalui pembuatan reservat secara ko-manajemen dengan nilai manfaat 0,280 dan (3) pengelolaan populasi ikan melalui pembenihan dan restoking dengan nilai manfaat 0,202. Peraturan yang lebih baikdalam pengelolaan dan pelestarian ikan bilih adalah dengan hukum adat dengan nilai manfaat 0,095.Overfishing of bilih fish endemic in Singkarak lake indicated a decrease in population and size of the fish. Therefore, it is necessary to do a management in order a sustainable. One of the alternative management is based on local wisdom. The aim of this research was to determine of management priorities based on local wisdom that exist in the fish communities. From the research finding it can be explained that among the nine strategies which were obtained from the SWOT analysis, then the three strategies of the top priority of the management of bilih fish are (1) the management of fishing based on local wisdom with advantage value of 0.518, (2) management of fish habitat through the creation of reserves comanagement with a advantages value of 0.280 and (3) management of fish populations through hatchery and restocking with advantage value of 0.202. The better regulation in management and conservation bilih fish by customary law with adventages value of 0,095.","author":[{"dropping-particle":"","family":"Syandri","given":"Hafrijal","non-dropping-particle":"","parse-names":false,"suffix":""},{"dropping-particle":"","family":"Junaidi","given":"Junaidi","non-dropping-particle":"","parse-names":false,"suffix":""},{"dropping-particle":"","family":"Azrita","given":"Azrita","non-dropping-particle":"","parse-names":false,"suffix":""}],"container-title":"Jurnal Kebijakan Perikanan Indonesia","id":"ITEM-1","issue":"2","issued":{"date-parts":[["2017"]]},"page":"135","title":"Pengelolaan Sumber Daya Ikan Bilih (Mystacoleucus Padangensis Blkr) Endemik Berbasis Kearifan Lokal Di Danau Singkarak","type":"article-journal","volume":"3"},"uris":["http://www.mendeley.com/documents/?uuid=15583373-f8f3-4073-9419-c683135d4a13"]}],"mendeley":{"formattedCitation":"(Syandri et al., 2017)","plainTextFormattedCitation":"(Syandri et al., 2017)","previouslyFormattedCitation":"(Syandri et al., 2017)"},"properties":{"noteIndex":0},"schema":"https://github.com/citation-style-language/schema/raw/master/csl-citation.json"}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(Syandri et al., 2017)</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Ikan juga mengandung mineral, asam lemak dan asam amino esensial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{"citationItems":[{"id":"ITEM-1","itemData":{"DOI":"10.21107/agrointek.v16i2.12051","ISSN":"1907-8056","author":[{"dropping-particle":"","family":"Januarita","given":"Jatfitri Veda","non-dropping-particle":"","parse-names":false,"suffix":""},{"dropping-particle":"","family":"Ishartani","given":"Dwi","non-dropping-particle":"","parse-names":false,"suffix":""},{"dropping-particle":"","family":"Setiaboma","given":"Woro","non-dropping-particle":"","parse-names":false,"suffix":""},{"dropping-particle":"","family":"Kristanti","given":"Dita","non-dropping-particle":"","parse-names":false,"suffix":""}],"container-title":"Agrointek : Jurnal Teknologi Industri Pertanian","id":"ITEM-1","issue":"2","issued":{"date-parts":[["2022"]]},"page":"213-220","title":"Nilai gizi dan profil asam amino ikan etong (Abalistes stellaris) dan ikan tongkol (Euthynnus affinis)","type":"article-journal","volume":"16"},"uris":["http://www.mendeley.com/documents/?uuid=889acb46-250d-4b13-bcf5-cf26edca10a2"]}],"mendeley":{"formattedCitation":"(Januarita et al., 2022)","plainTextFormattedCitation":"(Januarita et al., 2022)","previouslyFormattedCitation":"(Januarita et al., 2022)"},"properties":{"noteIndex":0},"schema":"https://github.com/citation-style-language/schema/raw/master/csl-citation.json"}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(Januarita et al., 2022)</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{"citationItems":[{"id":"ITEM-1","itemData":{"DOI":"10.17844/jphpi.v20i1.16396","ISSN":"2303-2111","abstract":"The coastal communities of Kendari believe that sea worm as traditional drug can cure a wound, because some chemical compounds that exist in sea worms are suspected to have the compound. The aims of this study were to determine chemical compound, amino acid, fatty acid content, and mineral of flesh sea worm (Siphonosoma australe-australe) from Toronipa Aquatic Province Sulawesi Southeast. The higest essential amino acid content on fresh sea worm was arginin (3.04%), and freeze dry was 5.52%. The higest non-essential amino acid content on fresh sea worm and freeze dry were glutamic acid 6.53% and 8.53% for product resulted by freeze dry. The higest saturated attyacid (SF) content of fresh sea worm and freeze dry were palmatic acid (1.96% and 2.64%). The higest MUFA fatty acid content of fresh sea worm and freeze dry were plamitoleat acid 0.31% and 0.27%. The higest poly unsaturated fatty acid (PUFA) of fresh sea worm and freeze dry were were aracidonat 2.80% and oleat acid 1.97%. The higest mineral content of wet sea worm and frezee dry were Natrium 43,700 mg/kg and 127,334 mg/kg.","author":[{"dropping-particle":"","family":"Nurhikma","given":"Nurhikma","non-dropping-particle":"","parse-names":false,"suffix":""},{"dropping-particle":"","family":"Nurhayati","given":"Tati","non-dropping-particle":"","parse-names":false,"suffix":""},{"dropping-particle":"","family":"Purwaningsih","given":"Sri","non-dropping-particle":"","parse-names":false,"suffix":""}],"container-title":"Jurnal Pengolahan Hasil Perikanan Indonesia","id":"ITEM-1","issue":"1","issued":{"date-parts":[["2017"]]},"page":"36","title":"Kandungan Asam Amino, Asam Lemak, Dan Mineral Cacing Laut Dari Sulawesi Tenggara","type":"article-journal","volume":"20"},"uris":["http://www.mendeley.com/documents/?uuid=8035dd48-2742-4a4f-91e8-5b9cf7aadec2"]}],"mendeley":{"formattedCitation":"(Nurhikma et al., 2017)","plainTextFormattedCitation":"(Nurhikma et al., 2017)","previouslyFormattedCitation":"(Nurhikma et al., 2017)"},"properties":{"noteIndex":0},"schema":"https://github.com/citation-style-language/schema/raw/master/csl-citation.json"}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(Nurhikma et al., 2017)</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Meskipun tidak ada informasi spesifik tentang kandungan nutrisi pada segelurung namun ikan asap pada </w:t>
      </w:r>
      <w:r w:rsidRPr="00BC3FE9">
        <w:rPr>
          <w:rFonts w:ascii="Times New Roman" w:hAnsi="Times New Roman" w:cs="Times New Roman"/>
          <w:sz w:val="24"/>
          <w:szCs w:val="24"/>
        </w:rPr>
        <w:lastRenderedPageBreak/>
        <w:t xml:space="preserve">umumnya memiliki kandungan nutrisi yang baik seperti protein, vitamin D, fosfor, dan kalsium. Mengingat gizi yang terkandung dalam ikan maka mengkonsumsi ikan dapat mencegah stunting. Salah satu cara untuk mendapatkan sumber daya manusia yang berkualitas adalah melalui kecukupan gizi pada masa pertumbuhan anak karena pemberian makan pada bayi dan balita merupakan pilar utama untuk tumbuh kembang yang sehat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{"citationItems":[{"id":"ITEM-1","itemData":{"author":[{"dropping-particle":"","family":"Erlyn","given":"Putri","non-dropping-particle":"","parse-names":false,"suffix":""},{"dropping-particle":"","family":"Hidayat","given":"Bachtari Alam","non-dropping-particle":"","parse-names":false,"suffix":""},{"dropping-particle":"","family":"Fatoni","given":"Agus","non-dropping-particle":"","parse-names":false,"suffix":""},{"dropping-particle":"","family":"Saksono","given":"Herie","non-dropping-particle":"","parse-names":false,"suffix":""}],"container-title":"Jurnal Bina Praja","id":"ITEM-1","issue":"3","issued":{"date-parts":[["2021"]]},"page":"543-553","title":"Nutritional Interventions by Local Governments as an Effort to Accelerate Stunting Reduction","type":"article-journal","volume":"13"},"uris":["http://www.mendeley.com/documents/?uuid=bab71a56-59cc-42f6-bf46-e747b70cfa03"]}],"mendeley":{"formattedCitation":"(Erlyn et al., 2021)","plainTextFormattedCitation":"(Erlyn et al., 2021)","previouslyFormattedCitation":"(Erlyn et al., 2021)"},"properties":{"noteIndex":0},"schema":"https://github.com/citation-style-language/schema/raw/master/csl-citation.json"}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(Erlyn et al., 2021)</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Tekstur dan nutrisi ikan asap dapat dipengaruhi oleh berapa faktor yaitu pemanasan dan penyimpanan </w:t>
      </w:r>
      <w:r w:rsidRPr="00BC3FE9">
        <w:rPr>
          <w:rFonts w:ascii="Times New Roman" w:hAnsi="Times New Roman" w:cs="Times New Roman"/>
          <w:sz w:val="24"/>
          <w:szCs w:val="24"/>
        </w:rPr>
        <w:fldChar w:fldCharType="begin" w:fldLock="1"/>
      </w:r>
      <w:r w:rsidRPr="00BC3FE9">
        <w:rPr>
          <w:rFonts w:ascii="Times New Roman" w:hAnsi="Times New Roman" w:cs="Times New Roman"/>
          <w:sz w:val="24"/>
          <w:szCs w:val="24"/>
        </w:rPr>
        <w:instrText>ADDIN CSL_CITATION {"citationItems":[{"id":"ITEM-1","itemData":{"ISBN":"8138527080","abstract":"During a Scuba survey in Iskenderun Bay at night time on November 2018, a female Urocaridella pulchella individual was observed with nocturnal cleaning on Octopus vulgaris at 16 m in depth. Some photos of the shrimp and its symbiont were taken. Although the nocturnal cleaning relationship between U. pulchella and various marine species has been reported in some studies, the nocturnal cleaning relationship between O. vulgaris and U. pulchella has been observed for the first time. In addition, in the present study, we first reported Indo-Pacific palaemonid shrimp U. pulchella which was encountered in its natural habitat during an underwater observation from Iskenderun Bay, and this report is the first observation for this area and fills a gap in the distribution range of this species.","author":[{"dropping-particle":"","family":"Ezraneti","given":"Riri","non-dropping-particle":"","parse-names":false,"suffix":""},{"dropping-particle":"","family":"Adhar","given":"Saiful","non-dropping-particle":"","parse-names":false,"suffix":""},{"dropping-particle":"","family":"Alura","given":"Aula Maretta","non-dropping-particle":"","parse-names":false,"suffix":""}],"container-title":"Acta Aquatica","id":"ITEM-1","issue":"8","issued":{"date-parts":[["2021"]]},"page":"98-102","title":"Kualitas Fisikokimia dan Nutrisi Ikan Lele (Clarias gariepinus) Asap dengan Asap Cair Tempurung","type":"article-journal","volume":"8"},"uris":["http://www.mendeley.com/documents/?uuid=6d9f66b8-cdf8-43f2-a076-1993f57015db"]}],"mendeley":{"formattedCitation":"(Ezraneti et al., 2021)","plainTextFormattedCitation":"(Ezraneti et al., 2021)","previouslyFormattedCitation":"(Ezraneti et al., 2021)"},"properties":{"noteIndex":0},"schema":"https://github.com/citation-style-language/schema/raw/master/csl-citation.json"}</w:instrText>
      </w:r>
      <w:r w:rsidRPr="00BC3FE9">
        <w:rPr>
          <w:rFonts w:ascii="Times New Roman" w:hAnsi="Times New Roman" w:cs="Times New Roman"/>
          <w:sz w:val="24"/>
          <w:szCs w:val="24"/>
        </w:rPr>
        <w:fldChar w:fldCharType="separate"/>
      </w:r>
      <w:r w:rsidRPr="00BC3FE9">
        <w:rPr>
          <w:rFonts w:ascii="Times New Roman" w:hAnsi="Times New Roman" w:cs="Times New Roman"/>
          <w:noProof/>
          <w:sz w:val="24"/>
          <w:szCs w:val="24"/>
        </w:rPr>
        <w:t>(Ezraneti et al., 2021)</w:t>
      </w:r>
      <w:r w:rsidRPr="00BC3FE9">
        <w:rPr>
          <w:rFonts w:ascii="Times New Roman" w:hAnsi="Times New Roman" w:cs="Times New Roman"/>
          <w:sz w:val="24"/>
          <w:szCs w:val="24"/>
        </w:rPr>
        <w:fldChar w:fldCharType="end"/>
      </w:r>
      <w:r w:rsidRPr="00BC3FE9">
        <w:rPr>
          <w:rFonts w:ascii="Times New Roman" w:hAnsi="Times New Roman" w:cs="Times New Roman"/>
          <w:sz w:val="24"/>
          <w:szCs w:val="24"/>
        </w:rPr>
        <w:t xml:space="preserve">. </w:t>
      </w:r>
    </w:p>
    <w:p w14:paraId="4DB302DD" w14:textId="77777777" w:rsidR="00595F55" w:rsidRPr="00BC3FE9" w:rsidRDefault="00595F55"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Dalam konteks kebijakan perikanan, penerapan kearifan lokal segelurung dapat menjadi inovasi yang didukung oleh pemerintah. Pemerintah dapat memberikan dukungan dalam bentuk pelatihan, pengembangan kualitas produk, dan promosi produk perikanan segelurung. Dukungan ini dapat membantu meningkatkan nilai tambah produk perikanan lokal dan meningkatkan kesejahteraan masyarakat pedesaan yang terlibat dalam pengolahan segelurung.</w:t>
      </w:r>
    </w:p>
    <w:p w14:paraId="75228CBA" w14:textId="77777777" w:rsidR="00595F55" w:rsidRPr="00BC3FE9" w:rsidRDefault="00595F55"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Selain itu, pengakuan dan perlindungan terhadap kearifan lokal segelurung juga penting dalam menjaga warisan budaya dan pengetahuan tradisional yang ada di masyarakat. Hal ini dapat dilakukan melalui pengarusutamaan kearifan lokal dalam kebijakan perikanan, pengakuan hak-hak intelektual, dan pelestarian praktik tradisional.</w:t>
      </w:r>
    </w:p>
    <w:p w14:paraId="7A05F2D1" w14:textId="33A03F3D" w:rsidR="00EB149E" w:rsidRPr="00BC3FE9" w:rsidRDefault="00595F55"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Dengan mengadopsi kearifan lokal segelurung sebagai inovasi dalam pengolahan produk perikanan, diharapkan dapat terjadi peningkatan nilai tambah produk perikanan, peningkatan kesejahteraan masyarakat pedesaan, dan pelestarian kearifan lokal sebagai bagian dari warisan budaya Indonesia.</w:t>
      </w:r>
    </w:p>
    <w:p w14:paraId="25A6E798" w14:textId="3EAE4FB9" w:rsidR="00595F55" w:rsidRPr="00BC3FE9" w:rsidRDefault="00595F55" w:rsidP="00595F55">
      <w:pPr>
        <w:autoSpaceDE w:val="0"/>
        <w:autoSpaceDN w:val="0"/>
        <w:adjustRightInd w:val="0"/>
        <w:spacing w:after="0" w:line="24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 xml:space="preserve">Peluang Integrasi Kearifan Lokal “Segelurung” </w:t>
      </w:r>
      <w:r w:rsidR="005758FD" w:rsidRPr="00BC3FE9">
        <w:rPr>
          <w:rFonts w:ascii="Times New Roman" w:hAnsi="Times New Roman" w:cs="Times New Roman"/>
          <w:b/>
          <w:bCs/>
          <w:sz w:val="24"/>
          <w:szCs w:val="24"/>
        </w:rPr>
        <w:t>dengan</w:t>
      </w:r>
      <w:r w:rsidRPr="00BC3FE9">
        <w:rPr>
          <w:rFonts w:ascii="Times New Roman" w:hAnsi="Times New Roman" w:cs="Times New Roman"/>
          <w:b/>
          <w:bCs/>
          <w:sz w:val="24"/>
          <w:szCs w:val="24"/>
        </w:rPr>
        <w:t xml:space="preserve"> Kebijakan Ketahanan Pangan </w:t>
      </w:r>
      <w:r w:rsidR="005758FD" w:rsidRPr="00BC3FE9">
        <w:rPr>
          <w:rFonts w:ascii="Times New Roman" w:hAnsi="Times New Roman" w:cs="Times New Roman"/>
          <w:b/>
          <w:bCs/>
          <w:sz w:val="24"/>
          <w:szCs w:val="24"/>
        </w:rPr>
        <w:t>d</w:t>
      </w:r>
      <w:r w:rsidRPr="00BC3FE9">
        <w:rPr>
          <w:rFonts w:ascii="Times New Roman" w:hAnsi="Times New Roman" w:cs="Times New Roman"/>
          <w:b/>
          <w:bCs/>
          <w:sz w:val="24"/>
          <w:szCs w:val="24"/>
        </w:rPr>
        <w:t>an Kesejahteraan Masyarakat</w:t>
      </w:r>
    </w:p>
    <w:p w14:paraId="31B5DE86" w14:textId="77777777" w:rsidR="00046C8E" w:rsidRPr="00BC3FE9" w:rsidRDefault="00595F55" w:rsidP="00046C8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lastRenderedPageBreak/>
        <w:t>Peluang integrasi kearifan lokal "segelurung" dengan kebijakan ketahanan pangan, kesejahteraan masyarakat, dan faktor lainnya sangat mungkin terjadi. Kearifan lokal segelurung dapat menjadi bagian dari kebijakan ketahanan pangan, terutama dalam upaya meningkatkan ketersediaan dan aksesibilitas pangan di daerah pedesaan. Penggunaan segelurung dalam pengolahan produk perikanan dapat membantu menjaga kualitas dan daya tahan ikan, sehingga dapat memperpanjang masa simpan ikan dan memastikan pasokan pangan yang lebih stabil di masyarakat.</w:t>
      </w:r>
    </w:p>
    <w:p w14:paraId="218F8010" w14:textId="77777777" w:rsidR="00046C8E" w:rsidRPr="00BC3FE9" w:rsidRDefault="00595F55" w:rsidP="00046C8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Integrasi kearifan lokal segelurung dengan kebijakan kesejahteraan masyarakat dapat memberikan dampak positif terhadap ekonomi lokal. Dengan mengembangkan produksi segelurung secara berkelanjutan, masyarakat pedesaan dapat meningkatkan pendapatan mereka melalui peningkatan nilai tambah produk perikanan. Selain itu, pembinaan dan pelatihan dalam pengolahan segelurung juga dapat memberikan keterampilan baru dan peluang kerja bagi masyarakat setempat.</w:t>
      </w:r>
    </w:p>
    <w:p w14:paraId="0B6A077E" w14:textId="77777777" w:rsidR="00046C8E" w:rsidRPr="00BC3FE9" w:rsidRDefault="00595F55" w:rsidP="00046C8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Integrasi kearifan lokal segelurung dengan kebijakan pelestarian budaya dapat mempromosikan warisan budaya dan pengetahuan tradisional yang ada di masyarakat. Melalui pengakuan dan perlindungan terhadap praktik segelurung, kearifan lokal dapat dipertahankan dan dilestarikan sebagai bagian penting dari identitas budaya suatu daerah. Hal ini dapat dilakukan melalui pengarusutamaan kearifan lokal dalam kebijakan budaya, pendidikan, dan pariwisata.</w:t>
      </w:r>
    </w:p>
    <w:p w14:paraId="4E4394FC" w14:textId="6A34ECB7" w:rsidR="00595F55" w:rsidRPr="00BC3FE9" w:rsidRDefault="00595F55" w:rsidP="00046C8E">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Kearifan lokal segelurung dapat menjadi salah satu produk unggulan daerah dalam konteks pariwisata kuliner. Dengan mengintegrasikan segelurung dalam promosi dan pemasaran produk perikanan lokal, daerah dapat menarik wisatawan dan meningkatkan pendapatan dari sektor pariwisata. Hal ini juga dapat </w:t>
      </w:r>
      <w:r w:rsidRPr="00BC3FE9">
        <w:rPr>
          <w:rFonts w:ascii="Times New Roman" w:hAnsi="Times New Roman" w:cs="Times New Roman"/>
          <w:sz w:val="24"/>
          <w:szCs w:val="24"/>
        </w:rPr>
        <w:lastRenderedPageBreak/>
        <w:t>memberikan kesempatan bagi masyarakat lokal untuk berperan dalam industri pariwisata dan memperoleh manfaat ekonomi yang lebih luas.</w:t>
      </w:r>
    </w:p>
    <w:p w14:paraId="06F71F98" w14:textId="46C935A4" w:rsidR="00595F55" w:rsidRPr="00BC3FE9" w:rsidRDefault="00786D10" w:rsidP="005C6759">
      <w:pPr>
        <w:autoSpaceDE w:val="0"/>
        <w:autoSpaceDN w:val="0"/>
        <w:adjustRightInd w:val="0"/>
        <w:spacing w:after="0" w:line="24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KESIMPULAN</w:t>
      </w:r>
    </w:p>
    <w:p w14:paraId="3A7622BE" w14:textId="6564B1EB" w:rsidR="00603554" w:rsidRPr="00BC3FE9" w:rsidRDefault="00603554" w:rsidP="005C6759">
      <w:pPr>
        <w:autoSpaceDE w:val="0"/>
        <w:autoSpaceDN w:val="0"/>
        <w:adjustRightInd w:val="0"/>
        <w:spacing w:after="0" w:line="24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Kesimpulan</w:t>
      </w:r>
    </w:p>
    <w:p w14:paraId="1B05CF67" w14:textId="77777777" w:rsidR="00595F55" w:rsidRPr="00BC3FE9" w:rsidRDefault="00786D10" w:rsidP="00595F55">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Segelurung merupakan inovasi kearifan lokal di pedesaan yang memiliki nilai penting dalam mempertahankan budaya, tradisi, dan identitas masyarakat. Melalui praktik segelurung, masyarakat pedesaan dapat menjaga warisan pengetahuan, keterampilan, dan nilai-nilai keberlanjutan dalam pengelolaan sumber daya ikan.</w:t>
      </w:r>
      <w:r w:rsidR="004A5D33" w:rsidRPr="00BC3FE9">
        <w:rPr>
          <w:rFonts w:ascii="Times New Roman" w:hAnsi="Times New Roman" w:cs="Times New Roman"/>
          <w:sz w:val="24"/>
          <w:szCs w:val="24"/>
        </w:rPr>
        <w:t xml:space="preserve"> </w:t>
      </w:r>
      <w:r w:rsidRPr="00BC3FE9">
        <w:rPr>
          <w:rFonts w:ascii="Times New Roman" w:hAnsi="Times New Roman" w:cs="Times New Roman"/>
          <w:sz w:val="24"/>
          <w:szCs w:val="24"/>
        </w:rPr>
        <w:t>Segelurung juga menjadi simbol keberagaman kuliner dan identitas lokal suatu daerah. Praktik segelurung mencerminkan hubungan harmonis antara manusia dan alam, serta memberikan kontribusi pada perekonomian lokal. Melalui segelurung, masyarakat pedesaan memperkaya keanekaragaman kuliner tradisional dan memperkuat eksistensi budaya mereka.</w:t>
      </w:r>
      <w:r w:rsidR="004A5D33" w:rsidRPr="00BC3FE9">
        <w:rPr>
          <w:rFonts w:ascii="Times New Roman" w:hAnsi="Times New Roman" w:cs="Times New Roman"/>
          <w:sz w:val="24"/>
          <w:szCs w:val="24"/>
        </w:rPr>
        <w:t xml:space="preserve"> </w:t>
      </w:r>
      <w:r w:rsidRPr="00BC3FE9">
        <w:rPr>
          <w:rFonts w:ascii="Times New Roman" w:hAnsi="Times New Roman" w:cs="Times New Roman"/>
          <w:sz w:val="24"/>
          <w:szCs w:val="24"/>
        </w:rPr>
        <w:t xml:space="preserve">Dalam menjaga eksistensi segelurung sebagai identitas masyarakat, penting untuk mendukung, mempromosikan, dan memperkuat praktik segelurung, serta melibatkan masyarakat dalam upaya pelestariannya. </w:t>
      </w:r>
      <w:r w:rsidR="00595F55" w:rsidRPr="00BC3FE9">
        <w:rPr>
          <w:rFonts w:ascii="Times New Roman" w:hAnsi="Times New Roman" w:cs="Times New Roman"/>
          <w:sz w:val="24"/>
          <w:szCs w:val="24"/>
        </w:rPr>
        <w:t>Integrasi kearifan lokal segelurung dengan kebijakan ketahanan pangan, kesejahteraan masyarakat, dan faktor lainnya memiliki peluang yang besar. Dengan mengoptimalkan potensi segelurung sebagai inovasi dalam pengolahan produk perikanan, dapat terjadi sinergi antara kebijakan pemerintah, pelestarian budaya, peningkatan kesejahteraan masyarakat, dan pengembangan sektor perikanan lokal.</w:t>
      </w:r>
    </w:p>
    <w:p w14:paraId="4EEEACD6" w14:textId="11AC5356" w:rsidR="00EB149E" w:rsidRPr="00BC3FE9" w:rsidRDefault="00603554" w:rsidP="00595F55">
      <w:pPr>
        <w:autoSpaceDE w:val="0"/>
        <w:autoSpaceDN w:val="0"/>
        <w:adjustRightInd w:val="0"/>
        <w:spacing w:after="0" w:line="480" w:lineRule="auto"/>
        <w:jc w:val="both"/>
        <w:rPr>
          <w:rFonts w:ascii="Times New Roman" w:hAnsi="Times New Roman" w:cs="Times New Roman"/>
          <w:b/>
          <w:bCs/>
          <w:sz w:val="24"/>
          <w:szCs w:val="24"/>
        </w:rPr>
      </w:pPr>
      <w:r w:rsidRPr="00BC3FE9">
        <w:rPr>
          <w:rFonts w:ascii="Times New Roman" w:hAnsi="Times New Roman" w:cs="Times New Roman"/>
          <w:b/>
          <w:bCs/>
          <w:sz w:val="24"/>
          <w:szCs w:val="24"/>
        </w:rPr>
        <w:t>Rekomendasi</w:t>
      </w:r>
    </w:p>
    <w:p w14:paraId="085DAFD1" w14:textId="26D29AF8" w:rsidR="00603554" w:rsidRPr="00BC3FE9" w:rsidRDefault="00603554" w:rsidP="005C6759">
      <w:pPr>
        <w:autoSpaceDE w:val="0"/>
        <w:autoSpaceDN w:val="0"/>
        <w:adjustRightInd w:val="0"/>
        <w:spacing w:after="0" w:line="480" w:lineRule="auto"/>
        <w:ind w:firstLine="720"/>
        <w:jc w:val="both"/>
        <w:rPr>
          <w:rFonts w:ascii="Times New Roman" w:hAnsi="Times New Roman" w:cs="Times New Roman"/>
          <w:sz w:val="24"/>
          <w:szCs w:val="24"/>
        </w:rPr>
      </w:pPr>
      <w:r w:rsidRPr="00BC3FE9">
        <w:rPr>
          <w:rFonts w:ascii="Times New Roman" w:hAnsi="Times New Roman" w:cs="Times New Roman"/>
          <w:sz w:val="24"/>
          <w:szCs w:val="24"/>
        </w:rPr>
        <w:t xml:space="preserve">Mengingat pentingnya nilai kearifan lokal yang terkandung dalam segelurung, maka beberapa rekomendasi </w:t>
      </w:r>
      <w:r w:rsidR="00E0798A" w:rsidRPr="00BC3FE9">
        <w:rPr>
          <w:rFonts w:ascii="Times New Roman" w:hAnsi="Times New Roman" w:cs="Times New Roman"/>
          <w:sz w:val="24"/>
          <w:szCs w:val="24"/>
        </w:rPr>
        <w:t xml:space="preserve">agar segelurung dapat terus menjadi </w:t>
      </w:r>
      <w:r w:rsidR="00E0798A" w:rsidRPr="00BC3FE9">
        <w:rPr>
          <w:rFonts w:ascii="Times New Roman" w:hAnsi="Times New Roman" w:cs="Times New Roman"/>
          <w:sz w:val="24"/>
          <w:szCs w:val="24"/>
        </w:rPr>
        <w:lastRenderedPageBreak/>
        <w:t>identitas masyarakat pedesaan, memberikan manfaat ekonomi, dan inovasi kearifan lokal</w:t>
      </w:r>
      <w:r w:rsidRPr="00BC3FE9">
        <w:rPr>
          <w:rFonts w:ascii="Times New Roman" w:hAnsi="Times New Roman" w:cs="Times New Roman"/>
          <w:sz w:val="24"/>
          <w:szCs w:val="24"/>
        </w:rPr>
        <w:t xml:space="preserve"> </w:t>
      </w:r>
      <w:r w:rsidR="00E0798A" w:rsidRPr="00BC3FE9">
        <w:rPr>
          <w:rFonts w:ascii="Times New Roman" w:hAnsi="Times New Roman" w:cs="Times New Roman"/>
          <w:sz w:val="24"/>
          <w:szCs w:val="24"/>
        </w:rPr>
        <w:t xml:space="preserve">masyarakat Kabupaten PALI </w:t>
      </w:r>
      <w:r w:rsidRPr="00BC3FE9">
        <w:rPr>
          <w:rFonts w:ascii="Times New Roman" w:hAnsi="Times New Roman" w:cs="Times New Roman"/>
          <w:sz w:val="24"/>
          <w:szCs w:val="24"/>
        </w:rPr>
        <w:t>yaitu:</w:t>
      </w:r>
    </w:p>
    <w:p w14:paraId="00893EA1" w14:textId="77777777" w:rsidR="00603554" w:rsidRPr="00BC3FE9" w:rsidRDefault="00603554" w:rsidP="005C6759">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Penguatan kerjasama dan kolaborasi: Dalam rangka memperkuat eksistensi segelurung, penting untuk membangun kerjasama antara masyarakat pedesaan, pemerintah, lembaga pendidikan, dan sektor terkait lainnya. Kerjasama ini dapat meliputi pertukaran pengetahuan, bantuan teknis, pemasaran produk segelurung, dan pengembangan program pengembangan ekonomi lokal.</w:t>
      </w:r>
    </w:p>
    <w:p w14:paraId="7E9E63EE" w14:textId="77777777" w:rsidR="00603554" w:rsidRPr="00BC3FE9" w:rsidRDefault="00603554" w:rsidP="005C6759">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Promosi pariwisata budaya: Segelurung dapat menjadi daya tarik pariwisata budaya di pedesaan. Penting untuk menggali potensi wisata kuliner dan budaya segelurung sebagai salah satu atraksi untuk wisatawan. Dengan mempromosikan segelurung secara luas, dapat meningkatkan kunjungan wisata dan memberikan manfaat ekonomi bagi masyarakat pedesaan.</w:t>
      </w:r>
    </w:p>
    <w:p w14:paraId="6C65DE5C" w14:textId="1EF47953" w:rsidR="00603554" w:rsidRPr="00BC3FE9" w:rsidRDefault="00603554" w:rsidP="005C6759">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BC3FE9">
        <w:rPr>
          <w:rFonts w:ascii="Times New Roman" w:hAnsi="Times New Roman" w:cs="Times New Roman"/>
          <w:sz w:val="24"/>
          <w:szCs w:val="24"/>
        </w:rPr>
        <w:t>Pengembangan inovasi: Inovasi dapat dilakukan dalam pengemasan, pemasaran, dan diversifikasi produk segelurung untuk memenuhi permintaan pasar yang beragam.</w:t>
      </w:r>
      <w:r w:rsidR="005D4CA8" w:rsidRPr="00BC3FE9">
        <w:rPr>
          <w:rFonts w:ascii="Times New Roman" w:hAnsi="Times New Roman" w:cs="Times New Roman"/>
          <w:sz w:val="24"/>
          <w:szCs w:val="24"/>
        </w:rPr>
        <w:t xml:space="preserve"> </w:t>
      </w:r>
    </w:p>
    <w:p w14:paraId="679086C8" w14:textId="6A70765B" w:rsidR="00603554" w:rsidRPr="00BC3FE9" w:rsidRDefault="000C08FB" w:rsidP="005C6759">
      <w:pPr>
        <w:autoSpaceDE w:val="0"/>
        <w:autoSpaceDN w:val="0"/>
        <w:adjustRightInd w:val="0"/>
        <w:spacing w:after="0" w:line="240" w:lineRule="auto"/>
        <w:jc w:val="both"/>
        <w:rPr>
          <w:rFonts w:ascii="Times New Roman" w:hAnsi="Times New Roman" w:cs="Times New Roman"/>
          <w:sz w:val="24"/>
          <w:szCs w:val="24"/>
        </w:rPr>
      </w:pPr>
      <w:r w:rsidRPr="006B0D93">
        <w:rPr>
          <w:rFonts w:ascii="Times New Roman" w:hAnsi="Times New Roman" w:cs="Times New Roman"/>
          <w:b/>
          <w:bCs/>
          <w:sz w:val="24"/>
          <w:szCs w:val="24"/>
        </w:rPr>
        <w:t>DAFTAR PUSTAKA</w:t>
      </w:r>
    </w:p>
    <w:p w14:paraId="54AD2149" w14:textId="4EE107BB" w:rsidR="00E076A6" w:rsidRPr="006B0D93" w:rsidRDefault="00554A14"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BC3FE9">
        <w:rPr>
          <w:rFonts w:ascii="Times New Roman" w:hAnsi="Times New Roman" w:cs="Times New Roman"/>
          <w:sz w:val="24"/>
          <w:szCs w:val="24"/>
        </w:rPr>
        <w:fldChar w:fldCharType="begin" w:fldLock="1"/>
      </w:r>
      <w:r w:rsidRPr="006B0D93">
        <w:rPr>
          <w:rFonts w:ascii="Times New Roman" w:hAnsi="Times New Roman" w:cs="Times New Roman"/>
          <w:sz w:val="24"/>
          <w:szCs w:val="24"/>
        </w:rPr>
        <w:instrText xml:space="preserve">ADDIN Mendeley Bibliography CSL_BIBLIOGRAPHY </w:instrText>
      </w:r>
      <w:r w:rsidRPr="00BC3FE9">
        <w:rPr>
          <w:rFonts w:ascii="Times New Roman" w:hAnsi="Times New Roman" w:cs="Times New Roman"/>
          <w:sz w:val="24"/>
          <w:szCs w:val="24"/>
        </w:rPr>
        <w:fldChar w:fldCharType="separate"/>
      </w:r>
      <w:r w:rsidR="00E076A6" w:rsidRPr="006B0D93">
        <w:rPr>
          <w:rFonts w:ascii="Times New Roman" w:hAnsi="Times New Roman" w:cs="Times New Roman"/>
          <w:noProof/>
          <w:sz w:val="24"/>
          <w:szCs w:val="24"/>
        </w:rPr>
        <w:t xml:space="preserve">Erlyn, P., Hidayat, B. A., Fatoni, A., &amp; Saksono, H. (2021). Nutritional Interventions by Local Governments as an Effort to Accelerate Stunting Reduction. </w:t>
      </w:r>
      <w:r w:rsidR="00E076A6" w:rsidRPr="006B0D93">
        <w:rPr>
          <w:rFonts w:ascii="Times New Roman" w:hAnsi="Times New Roman" w:cs="Times New Roman"/>
          <w:i/>
          <w:iCs/>
          <w:noProof/>
          <w:sz w:val="24"/>
          <w:szCs w:val="24"/>
        </w:rPr>
        <w:t>Jurnal Bina Praja</w:t>
      </w:r>
      <w:r w:rsidR="00E076A6" w:rsidRPr="006B0D93">
        <w:rPr>
          <w:rFonts w:ascii="Times New Roman" w:hAnsi="Times New Roman" w:cs="Times New Roman"/>
          <w:noProof/>
          <w:sz w:val="24"/>
          <w:szCs w:val="24"/>
        </w:rPr>
        <w:t xml:space="preserve">, </w:t>
      </w:r>
      <w:r w:rsidR="00E076A6" w:rsidRPr="006B0D93">
        <w:rPr>
          <w:rFonts w:ascii="Times New Roman" w:hAnsi="Times New Roman" w:cs="Times New Roman"/>
          <w:i/>
          <w:iCs/>
          <w:noProof/>
          <w:sz w:val="24"/>
          <w:szCs w:val="24"/>
        </w:rPr>
        <w:t>13</w:t>
      </w:r>
      <w:r w:rsidR="00E076A6" w:rsidRPr="006B0D93">
        <w:rPr>
          <w:rFonts w:ascii="Times New Roman" w:hAnsi="Times New Roman" w:cs="Times New Roman"/>
          <w:noProof/>
          <w:sz w:val="24"/>
          <w:szCs w:val="24"/>
        </w:rPr>
        <w:t>(3), 543–553.</w:t>
      </w:r>
    </w:p>
    <w:p w14:paraId="10E2CEA1"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Ezraneti, R., Adhar, S., &amp; Alura, A. M. (2021). Kualitas Fisikokimia dan Nutrisi Ikan Lele (Clarias gariepinus) Asap dengan Asap Cair Tempurung. </w:t>
      </w:r>
      <w:r w:rsidRPr="006B0D93">
        <w:rPr>
          <w:rFonts w:ascii="Times New Roman" w:hAnsi="Times New Roman" w:cs="Times New Roman"/>
          <w:i/>
          <w:iCs/>
          <w:noProof/>
          <w:sz w:val="24"/>
          <w:szCs w:val="24"/>
        </w:rPr>
        <w:t>Acta Aquatica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8</w:t>
      </w:r>
      <w:r w:rsidRPr="006B0D93">
        <w:rPr>
          <w:rFonts w:ascii="Times New Roman" w:hAnsi="Times New Roman" w:cs="Times New Roman"/>
          <w:noProof/>
          <w:sz w:val="24"/>
          <w:szCs w:val="24"/>
        </w:rPr>
        <w:t>(8), 98–102.</w:t>
      </w:r>
    </w:p>
    <w:p w14:paraId="681DB98C"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Fauzi, H. I. R., Saddhono, K., &amp; Rakhmawati, A. (2020). </w:t>
      </w:r>
      <w:r w:rsidRPr="006B0D93">
        <w:rPr>
          <w:rFonts w:ascii="Times New Roman" w:hAnsi="Times New Roman" w:cs="Times New Roman"/>
          <w:i/>
          <w:iCs/>
          <w:noProof/>
          <w:sz w:val="24"/>
          <w:szCs w:val="24"/>
        </w:rPr>
        <w:t>The Ritual “Mantenan Tebu” and Its Role as the Promotion Media of Inherited Indonesian Culture</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421</w:t>
      </w:r>
      <w:r w:rsidRPr="006B0D93">
        <w:rPr>
          <w:rFonts w:ascii="Times New Roman" w:hAnsi="Times New Roman" w:cs="Times New Roman"/>
          <w:noProof/>
          <w:sz w:val="24"/>
          <w:szCs w:val="24"/>
        </w:rPr>
        <w:t>(Icalc 2019), 548–555. https://doi.org/10.2991/assehr.k.200323.063</w:t>
      </w:r>
    </w:p>
    <w:p w14:paraId="57641F80"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Hadie, L. E., Kusnendar, E., &amp; Kusdiarti. (2021). Kajian dan Implikasi Kebijakan Pengelolaan Budidaya Ikan Sidat (Anguilla bicolor).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13</w:t>
      </w:r>
      <w:r w:rsidRPr="006B0D93">
        <w:rPr>
          <w:rFonts w:ascii="Times New Roman" w:hAnsi="Times New Roman" w:cs="Times New Roman"/>
          <w:noProof/>
          <w:sz w:val="24"/>
          <w:szCs w:val="24"/>
        </w:rPr>
        <w:t>(2), 71–84.</w:t>
      </w:r>
    </w:p>
    <w:p w14:paraId="37196411"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Hadie, L. E., Kusnendar, E., &amp; Priono, B. (2018). Strategi dan Kebijakan Produksi </w:t>
      </w:r>
      <w:r w:rsidRPr="006B0D93">
        <w:rPr>
          <w:rFonts w:ascii="Times New Roman" w:hAnsi="Times New Roman" w:cs="Times New Roman"/>
          <w:noProof/>
          <w:sz w:val="24"/>
          <w:szCs w:val="24"/>
        </w:rPr>
        <w:lastRenderedPageBreak/>
        <w:t xml:space="preserve">pada Budidaya Ikan Nila Berdaya Saing.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10</w:t>
      </w:r>
      <w:r w:rsidRPr="006B0D93">
        <w:rPr>
          <w:rFonts w:ascii="Times New Roman" w:hAnsi="Times New Roman" w:cs="Times New Roman"/>
          <w:noProof/>
          <w:sz w:val="24"/>
          <w:szCs w:val="24"/>
        </w:rPr>
        <w:t>(2), 75–85.</w:t>
      </w:r>
    </w:p>
    <w:p w14:paraId="6420AF99"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Halim, A., Wiryawan, B., Loneragan, N. R., Sondita, M. F. A., Hordyk, A., Adhuri, D. S., Adi, T. R., &amp; Adrianto, L. (2017). Konsep Hak Pengelolaan Perikanan Sebagai Alat Pengelolaan Perikanan Berkelanjutan Di Indonesia.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9</w:t>
      </w:r>
      <w:r w:rsidRPr="006B0D93">
        <w:rPr>
          <w:rFonts w:ascii="Times New Roman" w:hAnsi="Times New Roman" w:cs="Times New Roman"/>
          <w:noProof/>
          <w:sz w:val="24"/>
          <w:szCs w:val="24"/>
        </w:rPr>
        <w:t>(1), 11. https://doi.org/10.15578/jkpi.9.1.2017.11-20</w:t>
      </w:r>
    </w:p>
    <w:p w14:paraId="54FD6F1A"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Hidayat, B. A., Yuliana, E., Wicaksono, B., Matara, K., Afriyanni, Wulandari, S. N., Amri, N. H., &amp; Saksono, H. (2022). Objectives of Sustainable Development and Analysis of People’s Economy Improvement. </w:t>
      </w:r>
      <w:r w:rsidRPr="006B0D93">
        <w:rPr>
          <w:rFonts w:ascii="Times New Roman" w:hAnsi="Times New Roman" w:cs="Times New Roman"/>
          <w:i/>
          <w:iCs/>
          <w:noProof/>
          <w:sz w:val="24"/>
          <w:szCs w:val="24"/>
        </w:rPr>
        <w:t>Proceedings of the International Conference on Sustainable Innovation Track Humanities Education and Social Sciences (ICSIHESS 2021)</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626</w:t>
      </w:r>
      <w:r w:rsidRPr="006B0D93">
        <w:rPr>
          <w:rFonts w:ascii="Times New Roman" w:hAnsi="Times New Roman" w:cs="Times New Roman"/>
          <w:noProof/>
          <w:sz w:val="24"/>
          <w:szCs w:val="24"/>
        </w:rPr>
        <w:t>(Icsihess), 182–186. https://doi.org/10.2991/assehr.k.211227.030</w:t>
      </w:r>
    </w:p>
    <w:p w14:paraId="199C0F37"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Hidayat, B., Fatoni, A., Saksono, H., Asriani, A., &amp; Andari, T. (2022). Integrated River Transport Development to Support Smart City. </w:t>
      </w:r>
      <w:r w:rsidRPr="006B0D93">
        <w:rPr>
          <w:rFonts w:ascii="Times New Roman" w:hAnsi="Times New Roman" w:cs="Times New Roman"/>
          <w:i/>
          <w:iCs/>
          <w:noProof/>
          <w:sz w:val="24"/>
          <w:szCs w:val="24"/>
        </w:rPr>
        <w:t>Jurnal Bina Praja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14</w:t>
      </w:r>
      <w:r w:rsidRPr="006B0D93">
        <w:rPr>
          <w:rFonts w:ascii="Times New Roman" w:hAnsi="Times New Roman" w:cs="Times New Roman"/>
          <w:noProof/>
          <w:sz w:val="24"/>
          <w:szCs w:val="24"/>
        </w:rPr>
        <w:t>(1), 1–15. https://doi.org/10.21787/jbp.14.2022.1-15</w:t>
      </w:r>
    </w:p>
    <w:p w14:paraId="1300717F"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Hidayati, D. (2016). Memudarnya Nilai Kearifan Lokal Masyarakat dalam Pengelolaan Sumber Daya Air. </w:t>
      </w:r>
      <w:r w:rsidRPr="006B0D93">
        <w:rPr>
          <w:rFonts w:ascii="Times New Roman" w:hAnsi="Times New Roman" w:cs="Times New Roman"/>
          <w:i/>
          <w:iCs/>
          <w:noProof/>
          <w:sz w:val="24"/>
          <w:szCs w:val="24"/>
        </w:rPr>
        <w:t>Jurnal Kependudukan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11</w:t>
      </w:r>
      <w:r w:rsidRPr="006B0D93">
        <w:rPr>
          <w:rFonts w:ascii="Times New Roman" w:hAnsi="Times New Roman" w:cs="Times New Roman"/>
          <w:noProof/>
          <w:sz w:val="24"/>
          <w:szCs w:val="24"/>
        </w:rPr>
        <w:t>(1), 39–48.</w:t>
      </w:r>
    </w:p>
    <w:p w14:paraId="130ED7AD"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Jamilatun, S., Salamah, S., Aslihati, L., &amp; Suminar, W. (2016). Pengaruh Perendaman Ikan Nila Dengan Asap Cair ( Liquid Smoke ) Terhadap Daya Simpan. </w:t>
      </w:r>
      <w:r w:rsidRPr="006B0D93">
        <w:rPr>
          <w:rFonts w:ascii="Times New Roman" w:hAnsi="Times New Roman" w:cs="Times New Roman"/>
          <w:i/>
          <w:iCs/>
          <w:noProof/>
          <w:sz w:val="24"/>
          <w:szCs w:val="24"/>
        </w:rPr>
        <w:t>Seminar Nasional Sains Dan Teknologi</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November 2016</w:t>
      </w:r>
      <w:r w:rsidRPr="006B0D93">
        <w:rPr>
          <w:rFonts w:ascii="Times New Roman" w:hAnsi="Times New Roman" w:cs="Times New Roman"/>
          <w:noProof/>
          <w:sz w:val="24"/>
          <w:szCs w:val="24"/>
        </w:rPr>
        <w:t>, 1–8.</w:t>
      </w:r>
    </w:p>
    <w:p w14:paraId="3B74C6B7"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Januarita, J. V., Ishartani, D., Setiaboma, W., &amp; Kristanti, D. (2022). Nilai gizi dan profil asam amino ikan etong (Abalistes stellaris) dan ikan tongkol (Euthynnus affinis). </w:t>
      </w:r>
      <w:r w:rsidRPr="006B0D93">
        <w:rPr>
          <w:rFonts w:ascii="Times New Roman" w:hAnsi="Times New Roman" w:cs="Times New Roman"/>
          <w:i/>
          <w:iCs/>
          <w:noProof/>
          <w:sz w:val="24"/>
          <w:szCs w:val="24"/>
        </w:rPr>
        <w:t>Agrointek : Jurnal Teknologi Industri Pertanian</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16</w:t>
      </w:r>
      <w:r w:rsidRPr="006B0D93">
        <w:rPr>
          <w:rFonts w:ascii="Times New Roman" w:hAnsi="Times New Roman" w:cs="Times New Roman"/>
          <w:noProof/>
          <w:sz w:val="24"/>
          <w:szCs w:val="24"/>
        </w:rPr>
        <w:t>(2), 213–220. https://doi.org/10.21107/agrointek.v16i2.12051</w:t>
      </w:r>
    </w:p>
    <w:p w14:paraId="09F81D2C"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Kartamihardja, E. S. (2014). Prospek Pemanfaatan Sumber Daya Ikan Endemik Di Perairan Umum Daratan Zona Wallacea Dalam Mendukung Pembangunan Ekonomi Masyarakat.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6</w:t>
      </w:r>
      <w:r w:rsidRPr="006B0D93">
        <w:rPr>
          <w:rFonts w:ascii="Times New Roman" w:hAnsi="Times New Roman" w:cs="Times New Roman"/>
          <w:noProof/>
          <w:sz w:val="24"/>
          <w:szCs w:val="24"/>
        </w:rPr>
        <w:t>(1), 43. https://doi.org/10.15578/jkpi.6.1.2014.43-53</w:t>
      </w:r>
    </w:p>
    <w:p w14:paraId="0E83C76D"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Nawastuti, D. (2018). Kearifan Lokal Masyarakat Pesisir dalam Memahami Teknologi Hasil Perikanan. </w:t>
      </w:r>
      <w:r w:rsidRPr="006B0D93">
        <w:rPr>
          <w:rFonts w:ascii="Times New Roman" w:hAnsi="Times New Roman" w:cs="Times New Roman"/>
          <w:i/>
          <w:iCs/>
          <w:noProof/>
          <w:sz w:val="24"/>
          <w:szCs w:val="24"/>
        </w:rPr>
        <w:t>Jurnal Maksipreneur: Manajemen, Koperasi, Dan Entrepreneurship</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8</w:t>
      </w:r>
      <w:r w:rsidRPr="006B0D93">
        <w:rPr>
          <w:rFonts w:ascii="Times New Roman" w:hAnsi="Times New Roman" w:cs="Times New Roman"/>
          <w:noProof/>
          <w:sz w:val="24"/>
          <w:szCs w:val="24"/>
        </w:rPr>
        <w:t>(1), 32–44.</w:t>
      </w:r>
    </w:p>
    <w:p w14:paraId="70865B0A"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Nurhikma, N., Nurhayati, T., &amp; Purwaningsih, S. (2017). Kandungan Asam Amino, Asam Lemak, Dan Mineral Cacing Laut Dari Sulawesi Tenggara. </w:t>
      </w:r>
      <w:r w:rsidRPr="006B0D93">
        <w:rPr>
          <w:rFonts w:ascii="Times New Roman" w:hAnsi="Times New Roman" w:cs="Times New Roman"/>
          <w:i/>
          <w:iCs/>
          <w:noProof/>
          <w:sz w:val="24"/>
          <w:szCs w:val="24"/>
        </w:rPr>
        <w:t>Jurnal Pengolahan Hasil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20</w:t>
      </w:r>
      <w:r w:rsidRPr="006B0D93">
        <w:rPr>
          <w:rFonts w:ascii="Times New Roman" w:hAnsi="Times New Roman" w:cs="Times New Roman"/>
          <w:noProof/>
          <w:sz w:val="24"/>
          <w:szCs w:val="24"/>
        </w:rPr>
        <w:t>(1), 36. https://doi.org/10.17844/jphpi.v20i1.16396</w:t>
      </w:r>
    </w:p>
    <w:p w14:paraId="6D5F828B"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Oktaviani, D., Prianto, E., &amp; Puspasari, R. (2016). Penguatan Kearifan Lokal Sebagai Landasan Pengelolaan Perikanan Perairan Umum Daratan Di Sumatera.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8</w:t>
      </w:r>
      <w:r w:rsidRPr="006B0D93">
        <w:rPr>
          <w:rFonts w:ascii="Times New Roman" w:hAnsi="Times New Roman" w:cs="Times New Roman"/>
          <w:noProof/>
          <w:sz w:val="24"/>
          <w:szCs w:val="24"/>
        </w:rPr>
        <w:t>(1), 1. https://doi.org/10.15578/jkpi.8.1.2016.1-12</w:t>
      </w:r>
    </w:p>
    <w:p w14:paraId="04200EB4"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lastRenderedPageBreak/>
        <w:t xml:space="preserve">Paulangan, Y. P., Barapadang, B., &amp; Amin, A. (2021). Sistem Pengetahuan dan Kearifan Lokal “ Dabom ” di Kampung Muris , Distrik Demta Kabupaten Jayapura Papua.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13</w:t>
      </w:r>
      <w:r w:rsidRPr="006B0D93">
        <w:rPr>
          <w:rFonts w:ascii="Times New Roman" w:hAnsi="Times New Roman" w:cs="Times New Roman"/>
          <w:noProof/>
          <w:sz w:val="24"/>
          <w:szCs w:val="24"/>
        </w:rPr>
        <w:t>(1), 1–8. http://dx.doi.org/10.15578/jkpi.13.1.2021.1-8</w:t>
      </w:r>
    </w:p>
    <w:p w14:paraId="5CE0BAC6"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Prianto, E., Jhonnerie, R., Oktorini, Y., &amp; Fauzi, M. (2023). Sistem Pajak ” Sebagai Instrument Pengelolaan Sumberdaya Perikanan Sungai Dan Rawa Banjiran Berbasis Kearifan Lokal Di Kecamatan Langgam Provinsi Riau.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15</w:t>
      </w:r>
      <w:r w:rsidRPr="006B0D93">
        <w:rPr>
          <w:rFonts w:ascii="Times New Roman" w:hAnsi="Times New Roman" w:cs="Times New Roman"/>
          <w:noProof/>
          <w:sz w:val="24"/>
          <w:szCs w:val="24"/>
        </w:rPr>
        <w:t>(1), 11–20.</w:t>
      </w:r>
    </w:p>
    <w:p w14:paraId="346A1E4A"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Purwoko, R. M., Husnah, Aisyah, Haryuni, S. T., Kasim, K., &amp; Prianto, E. (2021). “Panglima danau” Sebagai Model Pengelolaan Sumberdaya Perikanan Berkelanjutan Berbasis Kearifan Lokal di Danau Aneuk Laot. </w:t>
      </w:r>
      <w:r w:rsidRPr="006B0D93">
        <w:rPr>
          <w:rFonts w:ascii="Times New Roman" w:hAnsi="Times New Roman" w:cs="Times New Roman"/>
          <w:i/>
          <w:iCs/>
          <w:noProof/>
          <w:sz w:val="24"/>
          <w:szCs w:val="24"/>
        </w:rPr>
        <w:t>Kebijakan Perikanan Indonesia (JKP</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13</w:t>
      </w:r>
      <w:r w:rsidRPr="006B0D93">
        <w:rPr>
          <w:rFonts w:ascii="Times New Roman" w:hAnsi="Times New Roman" w:cs="Times New Roman"/>
          <w:noProof/>
          <w:sz w:val="24"/>
          <w:szCs w:val="24"/>
        </w:rPr>
        <w:t>(1), 9–16.</w:t>
      </w:r>
    </w:p>
    <w:p w14:paraId="6618C6FC"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Saksono, H., Hidayat, B. A., Yuliana, E., Wicaksono, B., Afriyanni, Wulandari, S. N., Momon, M., Matara, K., &amp; Amri, N. H. (2022). The Impact of Tourism and The Creative Industry on The Economy of The Community. </w:t>
      </w:r>
      <w:r w:rsidRPr="006B0D93">
        <w:rPr>
          <w:rFonts w:ascii="Times New Roman" w:hAnsi="Times New Roman" w:cs="Times New Roman"/>
          <w:i/>
          <w:iCs/>
          <w:noProof/>
          <w:sz w:val="24"/>
          <w:szCs w:val="24"/>
        </w:rPr>
        <w:t>Proceedings of the International Conference on Sustainable Innovation Track Accounting and Management Sciences (ICOSIAMS 2021)</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201</w:t>
      </w:r>
      <w:r w:rsidRPr="006B0D93">
        <w:rPr>
          <w:rFonts w:ascii="Times New Roman" w:hAnsi="Times New Roman" w:cs="Times New Roman"/>
          <w:noProof/>
          <w:sz w:val="24"/>
          <w:szCs w:val="24"/>
        </w:rPr>
        <w:t>(Icosiams 2021), 22–25. https://doi.org/10.2991/aebmr.k.211225.004</w:t>
      </w:r>
    </w:p>
    <w:p w14:paraId="5F96A409"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Sari, W. N., Gadu, P., &amp; Mahsun. (2023). Wisata Gastronomi: Mengenal Budaya Dan Sejarah Melalui Makanan Lokal ‘Sate Rembiga’ Di Mataram. </w:t>
      </w:r>
      <w:r w:rsidRPr="006B0D93">
        <w:rPr>
          <w:rFonts w:ascii="Times New Roman" w:hAnsi="Times New Roman" w:cs="Times New Roman"/>
          <w:i/>
          <w:iCs/>
          <w:noProof/>
          <w:sz w:val="24"/>
          <w:szCs w:val="24"/>
        </w:rPr>
        <w:t>Jurnal Bina PatriaBina Patria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17</w:t>
      </w:r>
      <w:r w:rsidRPr="006B0D93">
        <w:rPr>
          <w:rFonts w:ascii="Times New Roman" w:hAnsi="Times New Roman" w:cs="Times New Roman"/>
          <w:noProof/>
          <w:sz w:val="24"/>
          <w:szCs w:val="24"/>
        </w:rPr>
        <w:t>(9), 2075–2096.</w:t>
      </w:r>
    </w:p>
    <w:p w14:paraId="311FDC17"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Sirait, J., &amp; Hadi Saputra, S. (2020). Teknologi Alat Pengasapan Ikan dan Mutu Ikan Asap. </w:t>
      </w:r>
      <w:r w:rsidRPr="006B0D93">
        <w:rPr>
          <w:rFonts w:ascii="Times New Roman" w:hAnsi="Times New Roman" w:cs="Times New Roman"/>
          <w:i/>
          <w:iCs/>
          <w:noProof/>
          <w:sz w:val="24"/>
          <w:szCs w:val="24"/>
        </w:rPr>
        <w:t>Jurnal Riset Teknologi Industri</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w:t>
      </w:r>
      <w:r w:rsidRPr="006B0D93">
        <w:rPr>
          <w:rFonts w:ascii="Times New Roman" w:hAnsi="Times New Roman" w:cs="Times New Roman"/>
          <w:noProof/>
          <w:sz w:val="24"/>
          <w:szCs w:val="24"/>
        </w:rPr>
        <w:t>, 220–229.</w:t>
      </w:r>
    </w:p>
    <w:p w14:paraId="2E4B2AA2"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Syafitri, A., &amp; Darwin, M. (2021). Diseminasi Program Pemberdayaan Inovasi Pengolahan Ikan Disemination of Empowerment Program for Fish Processing Innovation and Bargaining Power of Coastal Women in Batubara District.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13</w:t>
      </w:r>
      <w:r w:rsidRPr="006B0D93">
        <w:rPr>
          <w:rFonts w:ascii="Times New Roman" w:hAnsi="Times New Roman" w:cs="Times New Roman"/>
          <w:noProof/>
          <w:sz w:val="24"/>
          <w:szCs w:val="24"/>
        </w:rPr>
        <w:t>(November), 59–70.</w:t>
      </w:r>
    </w:p>
    <w:p w14:paraId="14AF5F3F"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Syandri, H., Junaidi, J., &amp; Azrita, A. (2017). Pengelolaan Sumber Daya Ikan Bilih (Mystacoleucus Padangensis Blkr) Endemik Berbasis Kearifan Lokal Di Danau Singkarak.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3</w:t>
      </w:r>
      <w:r w:rsidRPr="006B0D93">
        <w:rPr>
          <w:rFonts w:ascii="Times New Roman" w:hAnsi="Times New Roman" w:cs="Times New Roman"/>
          <w:noProof/>
          <w:sz w:val="24"/>
          <w:szCs w:val="24"/>
        </w:rPr>
        <w:t>(2), 135. https://doi.org/10.15578/jkpi.3.2.2011.135-144</w:t>
      </w:r>
    </w:p>
    <w:p w14:paraId="26E5B7EC" w14:textId="77777777" w:rsidR="00E076A6" w:rsidRPr="006B0D93" w:rsidRDefault="00E076A6" w:rsidP="00335DC8">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6B0D93">
        <w:rPr>
          <w:rFonts w:ascii="Times New Roman" w:hAnsi="Times New Roman" w:cs="Times New Roman"/>
          <w:noProof/>
          <w:sz w:val="24"/>
          <w:szCs w:val="24"/>
        </w:rPr>
        <w:t xml:space="preserve">Wiadnyana, N. N., &amp; Husnah, H. (2017). Upaya Pengelolaan Perairan Sungai Musi, Sumatera Untuk Keberlanjutan Pemanfaatan Sumber Daya Ikan. </w:t>
      </w:r>
      <w:r w:rsidRPr="006B0D93">
        <w:rPr>
          <w:rFonts w:ascii="Times New Roman" w:hAnsi="Times New Roman" w:cs="Times New Roman"/>
          <w:i/>
          <w:iCs/>
          <w:noProof/>
          <w:sz w:val="24"/>
          <w:szCs w:val="24"/>
        </w:rPr>
        <w:t>Jurnal Kebijakan Perikanan Indonesia</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3</w:t>
      </w:r>
      <w:r w:rsidRPr="006B0D93">
        <w:rPr>
          <w:rFonts w:ascii="Times New Roman" w:hAnsi="Times New Roman" w:cs="Times New Roman"/>
          <w:noProof/>
          <w:sz w:val="24"/>
          <w:szCs w:val="24"/>
        </w:rPr>
        <w:t>(1), 13. https://doi.org/10.15578/jkpi.3.1.2011.13-26</w:t>
      </w:r>
    </w:p>
    <w:p w14:paraId="033B5921" w14:textId="23C4E51C" w:rsidR="004A4B9D" w:rsidRPr="00BC3FE9" w:rsidRDefault="00E076A6" w:rsidP="00335DC8">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6B0D93">
        <w:rPr>
          <w:rFonts w:ascii="Times New Roman" w:hAnsi="Times New Roman" w:cs="Times New Roman"/>
          <w:noProof/>
          <w:sz w:val="24"/>
          <w:szCs w:val="24"/>
        </w:rPr>
        <w:t xml:space="preserve">Yuliana, E., Yusuf, M., Nirmalasari, T., Amri, N. H., &amp; Hidayat, B. A. (2021). Natural Resources and Environment Management for the Development of Local Wisdom. </w:t>
      </w:r>
      <w:r w:rsidRPr="006B0D93">
        <w:rPr>
          <w:rFonts w:ascii="Times New Roman" w:hAnsi="Times New Roman" w:cs="Times New Roman"/>
          <w:i/>
          <w:iCs/>
          <w:noProof/>
          <w:sz w:val="24"/>
          <w:szCs w:val="24"/>
        </w:rPr>
        <w:t>Budapest International Research and Critics Institute (BIRCI-Journal): Humanities and Social Sciences</w:t>
      </w:r>
      <w:r w:rsidRPr="006B0D93">
        <w:rPr>
          <w:rFonts w:ascii="Times New Roman" w:hAnsi="Times New Roman" w:cs="Times New Roman"/>
          <w:noProof/>
          <w:sz w:val="24"/>
          <w:szCs w:val="24"/>
        </w:rPr>
        <w:t xml:space="preserve">, </w:t>
      </w:r>
      <w:r w:rsidRPr="006B0D93">
        <w:rPr>
          <w:rFonts w:ascii="Times New Roman" w:hAnsi="Times New Roman" w:cs="Times New Roman"/>
          <w:i/>
          <w:iCs/>
          <w:noProof/>
          <w:sz w:val="24"/>
          <w:szCs w:val="24"/>
        </w:rPr>
        <w:t>4</w:t>
      </w:r>
      <w:r w:rsidRPr="006B0D93">
        <w:rPr>
          <w:rFonts w:ascii="Times New Roman" w:hAnsi="Times New Roman" w:cs="Times New Roman"/>
          <w:noProof/>
          <w:sz w:val="24"/>
          <w:szCs w:val="24"/>
        </w:rPr>
        <w:t>(4), 8248–8254. http://bircu-journal.com/index.php/birci/article/view/2759</w:t>
      </w:r>
      <w:r w:rsidR="00554A14" w:rsidRPr="00BC3FE9">
        <w:rPr>
          <w:rFonts w:ascii="Times New Roman" w:hAnsi="Times New Roman" w:cs="Times New Roman"/>
          <w:sz w:val="24"/>
          <w:szCs w:val="24"/>
        </w:rPr>
        <w:fldChar w:fldCharType="end"/>
      </w:r>
      <w:bookmarkStart w:id="0" w:name="_GoBack"/>
      <w:bookmarkEnd w:id="0"/>
    </w:p>
    <w:sectPr w:rsidR="004A4B9D" w:rsidRPr="00BC3FE9" w:rsidSect="005C6759">
      <w:pgSz w:w="11906" w:h="16838" w:code="9"/>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73E8" w14:textId="77777777" w:rsidR="00A85BCA" w:rsidRDefault="00A85BCA" w:rsidP="00710372">
      <w:pPr>
        <w:spacing w:after="0" w:line="240" w:lineRule="auto"/>
      </w:pPr>
      <w:r>
        <w:separator/>
      </w:r>
    </w:p>
  </w:endnote>
  <w:endnote w:type="continuationSeparator" w:id="0">
    <w:p w14:paraId="3DAAA874" w14:textId="77777777" w:rsidR="00A85BCA" w:rsidRDefault="00A85BCA" w:rsidP="0071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9059" w14:textId="77777777" w:rsidR="00A85BCA" w:rsidRDefault="00A85BCA" w:rsidP="00710372">
      <w:pPr>
        <w:spacing w:after="0" w:line="240" w:lineRule="auto"/>
      </w:pPr>
      <w:r>
        <w:separator/>
      </w:r>
    </w:p>
  </w:footnote>
  <w:footnote w:type="continuationSeparator" w:id="0">
    <w:p w14:paraId="59770385" w14:textId="77777777" w:rsidR="00A85BCA" w:rsidRDefault="00A85BCA" w:rsidP="00710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CC7"/>
    <w:multiLevelType w:val="hybridMultilevel"/>
    <w:tmpl w:val="89B46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4A51"/>
    <w:multiLevelType w:val="hybridMultilevel"/>
    <w:tmpl w:val="A8FEA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9596A"/>
    <w:multiLevelType w:val="hybridMultilevel"/>
    <w:tmpl w:val="53E4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3668D"/>
    <w:multiLevelType w:val="hybridMultilevel"/>
    <w:tmpl w:val="EB14DF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1020AFB"/>
    <w:multiLevelType w:val="hybridMultilevel"/>
    <w:tmpl w:val="C2CA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073C9"/>
    <w:multiLevelType w:val="hybridMultilevel"/>
    <w:tmpl w:val="925A1F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D641863"/>
    <w:multiLevelType w:val="hybridMultilevel"/>
    <w:tmpl w:val="7548B5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FC378FF"/>
    <w:multiLevelType w:val="hybridMultilevel"/>
    <w:tmpl w:val="2B221F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9E70C6B"/>
    <w:multiLevelType w:val="hybridMultilevel"/>
    <w:tmpl w:val="EB163986"/>
    <w:lvl w:ilvl="0" w:tplc="49A4A7B6">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plc="B5B43386" w:tentative="1">
      <w:start w:val="1"/>
      <w:numFmt w:val="decimal"/>
      <w:lvlText w:val="%2."/>
      <w:lvlJc w:val="left"/>
      <w:pPr>
        <w:tabs>
          <w:tab w:val="num" w:pos="1440"/>
        </w:tabs>
        <w:ind w:left="1440" w:hanging="360"/>
      </w:pPr>
    </w:lvl>
    <w:lvl w:ilvl="2" w:tplc="EDFEC420" w:tentative="1">
      <w:start w:val="1"/>
      <w:numFmt w:val="decimal"/>
      <w:lvlText w:val="%3."/>
      <w:lvlJc w:val="left"/>
      <w:pPr>
        <w:tabs>
          <w:tab w:val="num" w:pos="2160"/>
        </w:tabs>
        <w:ind w:left="2160" w:hanging="360"/>
      </w:pPr>
    </w:lvl>
    <w:lvl w:ilvl="3" w:tplc="97B6AB72" w:tentative="1">
      <w:start w:val="1"/>
      <w:numFmt w:val="decimal"/>
      <w:lvlText w:val="%4."/>
      <w:lvlJc w:val="left"/>
      <w:pPr>
        <w:tabs>
          <w:tab w:val="num" w:pos="2880"/>
        </w:tabs>
        <w:ind w:left="2880" w:hanging="360"/>
      </w:pPr>
    </w:lvl>
    <w:lvl w:ilvl="4" w:tplc="E042BDDC" w:tentative="1">
      <w:start w:val="1"/>
      <w:numFmt w:val="decimal"/>
      <w:lvlText w:val="%5."/>
      <w:lvlJc w:val="left"/>
      <w:pPr>
        <w:tabs>
          <w:tab w:val="num" w:pos="3600"/>
        </w:tabs>
        <w:ind w:left="3600" w:hanging="360"/>
      </w:pPr>
    </w:lvl>
    <w:lvl w:ilvl="5" w:tplc="52BC6398" w:tentative="1">
      <w:start w:val="1"/>
      <w:numFmt w:val="decimal"/>
      <w:lvlText w:val="%6."/>
      <w:lvlJc w:val="left"/>
      <w:pPr>
        <w:tabs>
          <w:tab w:val="num" w:pos="4320"/>
        </w:tabs>
        <w:ind w:left="4320" w:hanging="360"/>
      </w:pPr>
    </w:lvl>
    <w:lvl w:ilvl="6" w:tplc="3FE8341C" w:tentative="1">
      <w:start w:val="1"/>
      <w:numFmt w:val="decimal"/>
      <w:lvlText w:val="%7."/>
      <w:lvlJc w:val="left"/>
      <w:pPr>
        <w:tabs>
          <w:tab w:val="num" w:pos="5040"/>
        </w:tabs>
        <w:ind w:left="5040" w:hanging="360"/>
      </w:pPr>
    </w:lvl>
    <w:lvl w:ilvl="7" w:tplc="A50A1746" w:tentative="1">
      <w:start w:val="1"/>
      <w:numFmt w:val="decimal"/>
      <w:lvlText w:val="%8."/>
      <w:lvlJc w:val="left"/>
      <w:pPr>
        <w:tabs>
          <w:tab w:val="num" w:pos="5760"/>
        </w:tabs>
        <w:ind w:left="5760" w:hanging="360"/>
      </w:pPr>
    </w:lvl>
    <w:lvl w:ilvl="8" w:tplc="3A7286BE" w:tentative="1">
      <w:start w:val="1"/>
      <w:numFmt w:val="decimal"/>
      <w:lvlText w:val="%9."/>
      <w:lvlJc w:val="left"/>
      <w:pPr>
        <w:tabs>
          <w:tab w:val="num" w:pos="6480"/>
        </w:tabs>
        <w:ind w:left="6480" w:hanging="360"/>
      </w:pPr>
    </w:lvl>
  </w:abstractNum>
  <w:abstractNum w:abstractNumId="9" w15:restartNumberingAfterBreak="0">
    <w:nsid w:val="3AF5074E"/>
    <w:multiLevelType w:val="hybridMultilevel"/>
    <w:tmpl w:val="3B5E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E38DD"/>
    <w:multiLevelType w:val="hybridMultilevel"/>
    <w:tmpl w:val="ABE2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B14E2"/>
    <w:multiLevelType w:val="hybridMultilevel"/>
    <w:tmpl w:val="40AEC8EE"/>
    <w:lvl w:ilvl="0" w:tplc="F1B2E060">
      <w:start w:val="1"/>
      <w:numFmt w:val="decimal"/>
      <w:lvlText w:val="%1."/>
      <w:lvlJc w:val="left"/>
      <w:pPr>
        <w:ind w:left="720" w:hanging="360"/>
      </w:pPr>
      <w:rPr>
        <w:color w:val="auto"/>
      </w:rPr>
    </w:lvl>
    <w:lvl w:ilvl="1" w:tplc="49BADD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F9085A08">
      <w:start w:val="1"/>
      <w:numFmt w:val="lowerLetter"/>
      <w:lvlText w:val="%4."/>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70A82"/>
    <w:multiLevelType w:val="hybridMultilevel"/>
    <w:tmpl w:val="072A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14BF8"/>
    <w:multiLevelType w:val="hybridMultilevel"/>
    <w:tmpl w:val="52D89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D753FC3"/>
    <w:multiLevelType w:val="hybridMultilevel"/>
    <w:tmpl w:val="BA42E5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7ED6F13"/>
    <w:multiLevelType w:val="hybridMultilevel"/>
    <w:tmpl w:val="98D6B7E6"/>
    <w:lvl w:ilvl="0" w:tplc="D99CB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F1678"/>
    <w:multiLevelType w:val="hybridMultilevel"/>
    <w:tmpl w:val="666CB3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E4F4429"/>
    <w:multiLevelType w:val="hybridMultilevel"/>
    <w:tmpl w:val="89FA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30648"/>
    <w:multiLevelType w:val="hybridMultilevel"/>
    <w:tmpl w:val="549C67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7D10E29"/>
    <w:multiLevelType w:val="hybridMultilevel"/>
    <w:tmpl w:val="D9F2B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DBA4394"/>
    <w:multiLevelType w:val="hybridMultilevel"/>
    <w:tmpl w:val="8B3E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20C99"/>
    <w:multiLevelType w:val="hybridMultilevel"/>
    <w:tmpl w:val="53E4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45016"/>
    <w:multiLevelType w:val="hybridMultilevel"/>
    <w:tmpl w:val="E6E09C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87E469E"/>
    <w:multiLevelType w:val="hybridMultilevel"/>
    <w:tmpl w:val="A9B4F3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7"/>
  </w:num>
  <w:num w:numId="4">
    <w:abstractNumId w:val="23"/>
  </w:num>
  <w:num w:numId="5">
    <w:abstractNumId w:val="3"/>
  </w:num>
  <w:num w:numId="6">
    <w:abstractNumId w:val="6"/>
  </w:num>
  <w:num w:numId="7">
    <w:abstractNumId w:val="18"/>
  </w:num>
  <w:num w:numId="8">
    <w:abstractNumId w:val="14"/>
  </w:num>
  <w:num w:numId="9">
    <w:abstractNumId w:val="5"/>
  </w:num>
  <w:num w:numId="10">
    <w:abstractNumId w:val="22"/>
  </w:num>
  <w:num w:numId="11">
    <w:abstractNumId w:val="8"/>
  </w:num>
  <w:num w:numId="12">
    <w:abstractNumId w:val="11"/>
  </w:num>
  <w:num w:numId="13">
    <w:abstractNumId w:val="1"/>
  </w:num>
  <w:num w:numId="14">
    <w:abstractNumId w:val="13"/>
  </w:num>
  <w:num w:numId="15">
    <w:abstractNumId w:val="20"/>
  </w:num>
  <w:num w:numId="16">
    <w:abstractNumId w:val="0"/>
  </w:num>
  <w:num w:numId="17">
    <w:abstractNumId w:val="21"/>
  </w:num>
  <w:num w:numId="18">
    <w:abstractNumId w:val="9"/>
  </w:num>
  <w:num w:numId="19">
    <w:abstractNumId w:val="12"/>
  </w:num>
  <w:num w:numId="20">
    <w:abstractNumId w:val="17"/>
  </w:num>
  <w:num w:numId="21">
    <w:abstractNumId w:val="10"/>
  </w:num>
  <w:num w:numId="22">
    <w:abstractNumId w:val="2"/>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MTA1MTKwNDOysDRW0lEKTi0uzszPAykwNK4FAEwpgJItAAAA"/>
  </w:docVars>
  <w:rsids>
    <w:rsidRoot w:val="001F39BC"/>
    <w:rsid w:val="00006B1C"/>
    <w:rsid w:val="00006E30"/>
    <w:rsid w:val="00020E99"/>
    <w:rsid w:val="00025A02"/>
    <w:rsid w:val="000336F8"/>
    <w:rsid w:val="000433B9"/>
    <w:rsid w:val="00046C8E"/>
    <w:rsid w:val="00060C19"/>
    <w:rsid w:val="00062445"/>
    <w:rsid w:val="0006482C"/>
    <w:rsid w:val="00064B51"/>
    <w:rsid w:val="00066926"/>
    <w:rsid w:val="00073998"/>
    <w:rsid w:val="00076E80"/>
    <w:rsid w:val="0007726B"/>
    <w:rsid w:val="000A0049"/>
    <w:rsid w:val="000A4434"/>
    <w:rsid w:val="000B22F6"/>
    <w:rsid w:val="000B3DC5"/>
    <w:rsid w:val="000C08FB"/>
    <w:rsid w:val="000C6BD9"/>
    <w:rsid w:val="000C73F2"/>
    <w:rsid w:val="000D28ED"/>
    <w:rsid w:val="000D2AD9"/>
    <w:rsid w:val="000D6C2E"/>
    <w:rsid w:val="00105D87"/>
    <w:rsid w:val="00111C27"/>
    <w:rsid w:val="0011556C"/>
    <w:rsid w:val="00132FC2"/>
    <w:rsid w:val="00153EC8"/>
    <w:rsid w:val="0015657C"/>
    <w:rsid w:val="00166CC4"/>
    <w:rsid w:val="00177BD9"/>
    <w:rsid w:val="0018464F"/>
    <w:rsid w:val="00190950"/>
    <w:rsid w:val="001948F5"/>
    <w:rsid w:val="00197192"/>
    <w:rsid w:val="001B4008"/>
    <w:rsid w:val="001C0015"/>
    <w:rsid w:val="001C20D2"/>
    <w:rsid w:val="001C711B"/>
    <w:rsid w:val="001D766F"/>
    <w:rsid w:val="001E3428"/>
    <w:rsid w:val="001F2548"/>
    <w:rsid w:val="001F2C55"/>
    <w:rsid w:val="001F39BC"/>
    <w:rsid w:val="00200BB9"/>
    <w:rsid w:val="002019DE"/>
    <w:rsid w:val="00205A02"/>
    <w:rsid w:val="00205FF9"/>
    <w:rsid w:val="0021306F"/>
    <w:rsid w:val="00213CBD"/>
    <w:rsid w:val="00213DF9"/>
    <w:rsid w:val="00215B4C"/>
    <w:rsid w:val="00226398"/>
    <w:rsid w:val="00230D44"/>
    <w:rsid w:val="002346BD"/>
    <w:rsid w:val="00243946"/>
    <w:rsid w:val="00245FAF"/>
    <w:rsid w:val="002504AF"/>
    <w:rsid w:val="00261C57"/>
    <w:rsid w:val="002656E4"/>
    <w:rsid w:val="00266B57"/>
    <w:rsid w:val="00271CE0"/>
    <w:rsid w:val="00271F06"/>
    <w:rsid w:val="00272D7B"/>
    <w:rsid w:val="002958A4"/>
    <w:rsid w:val="002979EB"/>
    <w:rsid w:val="002A1C04"/>
    <w:rsid w:val="002A695F"/>
    <w:rsid w:val="002C0CD8"/>
    <w:rsid w:val="002C16E6"/>
    <w:rsid w:val="002D6CE6"/>
    <w:rsid w:val="002E1CAA"/>
    <w:rsid w:val="002F7F99"/>
    <w:rsid w:val="00311174"/>
    <w:rsid w:val="0031691E"/>
    <w:rsid w:val="00324E7A"/>
    <w:rsid w:val="0032651F"/>
    <w:rsid w:val="003328A8"/>
    <w:rsid w:val="00335DC8"/>
    <w:rsid w:val="00337E26"/>
    <w:rsid w:val="00340348"/>
    <w:rsid w:val="003463B8"/>
    <w:rsid w:val="00350B7F"/>
    <w:rsid w:val="003606E8"/>
    <w:rsid w:val="00360F7F"/>
    <w:rsid w:val="003616DF"/>
    <w:rsid w:val="00365008"/>
    <w:rsid w:val="003739E9"/>
    <w:rsid w:val="0037605B"/>
    <w:rsid w:val="003873A2"/>
    <w:rsid w:val="0039054B"/>
    <w:rsid w:val="00390CD9"/>
    <w:rsid w:val="003A3874"/>
    <w:rsid w:val="003B1D13"/>
    <w:rsid w:val="003B3406"/>
    <w:rsid w:val="003D1B98"/>
    <w:rsid w:val="003E14CD"/>
    <w:rsid w:val="003E22F1"/>
    <w:rsid w:val="003E36BF"/>
    <w:rsid w:val="003E65FC"/>
    <w:rsid w:val="003E6A73"/>
    <w:rsid w:val="003F1C10"/>
    <w:rsid w:val="00406990"/>
    <w:rsid w:val="00411B43"/>
    <w:rsid w:val="0041259D"/>
    <w:rsid w:val="004158C9"/>
    <w:rsid w:val="00424751"/>
    <w:rsid w:val="00447741"/>
    <w:rsid w:val="00453A9D"/>
    <w:rsid w:val="00455DAF"/>
    <w:rsid w:val="004626BD"/>
    <w:rsid w:val="00473BC0"/>
    <w:rsid w:val="004749F6"/>
    <w:rsid w:val="004751F1"/>
    <w:rsid w:val="004821E1"/>
    <w:rsid w:val="00484FE2"/>
    <w:rsid w:val="00490722"/>
    <w:rsid w:val="00493510"/>
    <w:rsid w:val="004A0FD6"/>
    <w:rsid w:val="004A4B9D"/>
    <w:rsid w:val="004A5D33"/>
    <w:rsid w:val="004B213D"/>
    <w:rsid w:val="004C24E1"/>
    <w:rsid w:val="004C5AB3"/>
    <w:rsid w:val="004D041B"/>
    <w:rsid w:val="004D1350"/>
    <w:rsid w:val="004D270A"/>
    <w:rsid w:val="004D371B"/>
    <w:rsid w:val="004D42D6"/>
    <w:rsid w:val="004D7EE5"/>
    <w:rsid w:val="004E24A0"/>
    <w:rsid w:val="004E55FD"/>
    <w:rsid w:val="004F3C8B"/>
    <w:rsid w:val="004F6BDE"/>
    <w:rsid w:val="005021C4"/>
    <w:rsid w:val="00503959"/>
    <w:rsid w:val="00503F4A"/>
    <w:rsid w:val="00505260"/>
    <w:rsid w:val="005059C1"/>
    <w:rsid w:val="005213E4"/>
    <w:rsid w:val="0052446D"/>
    <w:rsid w:val="005271CF"/>
    <w:rsid w:val="00531A7E"/>
    <w:rsid w:val="00533E7B"/>
    <w:rsid w:val="00541FB2"/>
    <w:rsid w:val="00543804"/>
    <w:rsid w:val="00554A14"/>
    <w:rsid w:val="00555362"/>
    <w:rsid w:val="00571DA1"/>
    <w:rsid w:val="00573D57"/>
    <w:rsid w:val="005758FD"/>
    <w:rsid w:val="00581872"/>
    <w:rsid w:val="00583FF1"/>
    <w:rsid w:val="0058596E"/>
    <w:rsid w:val="00593D0C"/>
    <w:rsid w:val="00593E61"/>
    <w:rsid w:val="00595F55"/>
    <w:rsid w:val="005A3525"/>
    <w:rsid w:val="005A44A1"/>
    <w:rsid w:val="005A546E"/>
    <w:rsid w:val="005B35E4"/>
    <w:rsid w:val="005B7A68"/>
    <w:rsid w:val="005C34E5"/>
    <w:rsid w:val="005C5169"/>
    <w:rsid w:val="005C6759"/>
    <w:rsid w:val="005D4CA8"/>
    <w:rsid w:val="005E118F"/>
    <w:rsid w:val="005F0072"/>
    <w:rsid w:val="005F6987"/>
    <w:rsid w:val="00603554"/>
    <w:rsid w:val="00603931"/>
    <w:rsid w:val="00612936"/>
    <w:rsid w:val="00637CAF"/>
    <w:rsid w:val="00640C63"/>
    <w:rsid w:val="0064193F"/>
    <w:rsid w:val="00644EEC"/>
    <w:rsid w:val="00645ED7"/>
    <w:rsid w:val="00650EDD"/>
    <w:rsid w:val="0065393E"/>
    <w:rsid w:val="006549DB"/>
    <w:rsid w:val="00661C22"/>
    <w:rsid w:val="006671C5"/>
    <w:rsid w:val="0067051A"/>
    <w:rsid w:val="00670D5A"/>
    <w:rsid w:val="006750A0"/>
    <w:rsid w:val="006751D1"/>
    <w:rsid w:val="006804FF"/>
    <w:rsid w:val="0068336A"/>
    <w:rsid w:val="006B0D93"/>
    <w:rsid w:val="006B29F4"/>
    <w:rsid w:val="006D026C"/>
    <w:rsid w:val="00710372"/>
    <w:rsid w:val="007319B0"/>
    <w:rsid w:val="00737795"/>
    <w:rsid w:val="007466E9"/>
    <w:rsid w:val="00751340"/>
    <w:rsid w:val="007626BA"/>
    <w:rsid w:val="00764679"/>
    <w:rsid w:val="00765F5E"/>
    <w:rsid w:val="00777894"/>
    <w:rsid w:val="00786D10"/>
    <w:rsid w:val="00792677"/>
    <w:rsid w:val="00793C9C"/>
    <w:rsid w:val="00797D57"/>
    <w:rsid w:val="007B69B3"/>
    <w:rsid w:val="007B6BC7"/>
    <w:rsid w:val="007C4498"/>
    <w:rsid w:val="007D5500"/>
    <w:rsid w:val="007E4A02"/>
    <w:rsid w:val="007F1F10"/>
    <w:rsid w:val="007F31DE"/>
    <w:rsid w:val="007F72C8"/>
    <w:rsid w:val="007F74B3"/>
    <w:rsid w:val="00816427"/>
    <w:rsid w:val="0083072A"/>
    <w:rsid w:val="0083176E"/>
    <w:rsid w:val="008433B1"/>
    <w:rsid w:val="00844348"/>
    <w:rsid w:val="00871E2C"/>
    <w:rsid w:val="008721DE"/>
    <w:rsid w:val="008835BF"/>
    <w:rsid w:val="00883A2D"/>
    <w:rsid w:val="00884439"/>
    <w:rsid w:val="0089543D"/>
    <w:rsid w:val="008A1D33"/>
    <w:rsid w:val="008A2DA6"/>
    <w:rsid w:val="008A4638"/>
    <w:rsid w:val="008A4F53"/>
    <w:rsid w:val="008B10B4"/>
    <w:rsid w:val="008E412B"/>
    <w:rsid w:val="008F4C04"/>
    <w:rsid w:val="008F6AA4"/>
    <w:rsid w:val="00901C39"/>
    <w:rsid w:val="0092263D"/>
    <w:rsid w:val="0093633B"/>
    <w:rsid w:val="0094023D"/>
    <w:rsid w:val="00940477"/>
    <w:rsid w:val="0094681E"/>
    <w:rsid w:val="009529A1"/>
    <w:rsid w:val="00977D6D"/>
    <w:rsid w:val="00992A2E"/>
    <w:rsid w:val="00993279"/>
    <w:rsid w:val="00997816"/>
    <w:rsid w:val="009A3DB9"/>
    <w:rsid w:val="009A42E9"/>
    <w:rsid w:val="009A48EB"/>
    <w:rsid w:val="009B3904"/>
    <w:rsid w:val="009C7742"/>
    <w:rsid w:val="009D5E1E"/>
    <w:rsid w:val="009E0A6A"/>
    <w:rsid w:val="009E1E64"/>
    <w:rsid w:val="00A00BDA"/>
    <w:rsid w:val="00A016D0"/>
    <w:rsid w:val="00A01D9F"/>
    <w:rsid w:val="00A043CF"/>
    <w:rsid w:val="00A04E7A"/>
    <w:rsid w:val="00A2013C"/>
    <w:rsid w:val="00A2628F"/>
    <w:rsid w:val="00A27493"/>
    <w:rsid w:val="00A43A79"/>
    <w:rsid w:val="00A47BFD"/>
    <w:rsid w:val="00A51331"/>
    <w:rsid w:val="00A53993"/>
    <w:rsid w:val="00A56EC8"/>
    <w:rsid w:val="00A610FD"/>
    <w:rsid w:val="00A64440"/>
    <w:rsid w:val="00A6633C"/>
    <w:rsid w:val="00A741F6"/>
    <w:rsid w:val="00A77A82"/>
    <w:rsid w:val="00A80A36"/>
    <w:rsid w:val="00A85BCA"/>
    <w:rsid w:val="00A8768C"/>
    <w:rsid w:val="00A97815"/>
    <w:rsid w:val="00A97F78"/>
    <w:rsid w:val="00AB3AF1"/>
    <w:rsid w:val="00AC1AA6"/>
    <w:rsid w:val="00AC47CA"/>
    <w:rsid w:val="00AD0452"/>
    <w:rsid w:val="00AE5F03"/>
    <w:rsid w:val="00AE72DF"/>
    <w:rsid w:val="00AF123E"/>
    <w:rsid w:val="00AF1988"/>
    <w:rsid w:val="00B1170C"/>
    <w:rsid w:val="00B127BD"/>
    <w:rsid w:val="00B141A0"/>
    <w:rsid w:val="00B23254"/>
    <w:rsid w:val="00B24FCC"/>
    <w:rsid w:val="00B30FED"/>
    <w:rsid w:val="00B314EA"/>
    <w:rsid w:val="00B33F19"/>
    <w:rsid w:val="00B34ACE"/>
    <w:rsid w:val="00B35B1C"/>
    <w:rsid w:val="00B3631A"/>
    <w:rsid w:val="00B417EC"/>
    <w:rsid w:val="00B45BB8"/>
    <w:rsid w:val="00B47441"/>
    <w:rsid w:val="00B50D69"/>
    <w:rsid w:val="00B55985"/>
    <w:rsid w:val="00B71472"/>
    <w:rsid w:val="00B74C56"/>
    <w:rsid w:val="00B8121C"/>
    <w:rsid w:val="00B866F4"/>
    <w:rsid w:val="00B8705D"/>
    <w:rsid w:val="00B92703"/>
    <w:rsid w:val="00B9409E"/>
    <w:rsid w:val="00BA177B"/>
    <w:rsid w:val="00BB1548"/>
    <w:rsid w:val="00BB58EC"/>
    <w:rsid w:val="00BC3FE9"/>
    <w:rsid w:val="00BE4B9D"/>
    <w:rsid w:val="00BF6D5D"/>
    <w:rsid w:val="00C11D52"/>
    <w:rsid w:val="00C11E3A"/>
    <w:rsid w:val="00C17002"/>
    <w:rsid w:val="00C229C4"/>
    <w:rsid w:val="00C236D3"/>
    <w:rsid w:val="00C35CA1"/>
    <w:rsid w:val="00C462CB"/>
    <w:rsid w:val="00C50312"/>
    <w:rsid w:val="00C51A85"/>
    <w:rsid w:val="00C557F6"/>
    <w:rsid w:val="00C70973"/>
    <w:rsid w:val="00C740C1"/>
    <w:rsid w:val="00C7767C"/>
    <w:rsid w:val="00C900F4"/>
    <w:rsid w:val="00C9032A"/>
    <w:rsid w:val="00CA6E88"/>
    <w:rsid w:val="00CB0F67"/>
    <w:rsid w:val="00CB10A5"/>
    <w:rsid w:val="00CB1D6E"/>
    <w:rsid w:val="00CB5AC7"/>
    <w:rsid w:val="00CD0FEF"/>
    <w:rsid w:val="00CD2957"/>
    <w:rsid w:val="00CD5658"/>
    <w:rsid w:val="00CE5172"/>
    <w:rsid w:val="00CE6292"/>
    <w:rsid w:val="00D0147C"/>
    <w:rsid w:val="00D02982"/>
    <w:rsid w:val="00D34168"/>
    <w:rsid w:val="00D35266"/>
    <w:rsid w:val="00D36F92"/>
    <w:rsid w:val="00D4154D"/>
    <w:rsid w:val="00D52ECC"/>
    <w:rsid w:val="00D57A6B"/>
    <w:rsid w:val="00D624AE"/>
    <w:rsid w:val="00D676D1"/>
    <w:rsid w:val="00D73C5B"/>
    <w:rsid w:val="00D82C2F"/>
    <w:rsid w:val="00D9004C"/>
    <w:rsid w:val="00D908AE"/>
    <w:rsid w:val="00D92DC9"/>
    <w:rsid w:val="00DB0A1A"/>
    <w:rsid w:val="00DB1CB6"/>
    <w:rsid w:val="00DB5210"/>
    <w:rsid w:val="00DC12F6"/>
    <w:rsid w:val="00DD6347"/>
    <w:rsid w:val="00DE570B"/>
    <w:rsid w:val="00DE7070"/>
    <w:rsid w:val="00DF70BE"/>
    <w:rsid w:val="00E00925"/>
    <w:rsid w:val="00E04C48"/>
    <w:rsid w:val="00E076A6"/>
    <w:rsid w:val="00E0798A"/>
    <w:rsid w:val="00E14149"/>
    <w:rsid w:val="00E20518"/>
    <w:rsid w:val="00E229A7"/>
    <w:rsid w:val="00E22FD0"/>
    <w:rsid w:val="00E25CA4"/>
    <w:rsid w:val="00E32C04"/>
    <w:rsid w:val="00E33FFA"/>
    <w:rsid w:val="00E4089D"/>
    <w:rsid w:val="00E41C9F"/>
    <w:rsid w:val="00E50B7F"/>
    <w:rsid w:val="00E55E72"/>
    <w:rsid w:val="00E57776"/>
    <w:rsid w:val="00E61D85"/>
    <w:rsid w:val="00E6406A"/>
    <w:rsid w:val="00E6720E"/>
    <w:rsid w:val="00E8034F"/>
    <w:rsid w:val="00E84BA6"/>
    <w:rsid w:val="00EB149E"/>
    <w:rsid w:val="00EB216A"/>
    <w:rsid w:val="00EB4301"/>
    <w:rsid w:val="00EC2612"/>
    <w:rsid w:val="00EC281E"/>
    <w:rsid w:val="00ED56EF"/>
    <w:rsid w:val="00EE3E93"/>
    <w:rsid w:val="00F016DB"/>
    <w:rsid w:val="00F10A9B"/>
    <w:rsid w:val="00F23042"/>
    <w:rsid w:val="00F2739A"/>
    <w:rsid w:val="00F30BF8"/>
    <w:rsid w:val="00F3167C"/>
    <w:rsid w:val="00F54EBC"/>
    <w:rsid w:val="00F83381"/>
    <w:rsid w:val="00F91045"/>
    <w:rsid w:val="00FA4EBA"/>
    <w:rsid w:val="00FB268B"/>
    <w:rsid w:val="00FB4B3C"/>
    <w:rsid w:val="00FC128E"/>
    <w:rsid w:val="00FC54C5"/>
    <w:rsid w:val="00FC785E"/>
    <w:rsid w:val="00FD6CFA"/>
    <w:rsid w:val="00FE0771"/>
    <w:rsid w:val="00FE1393"/>
    <w:rsid w:val="00FE22AB"/>
    <w:rsid w:val="00FF10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B5E8E"/>
  <w15:docId w15:val="{12739A13-A8D8-4B44-A102-75DC7212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372"/>
  </w:style>
  <w:style w:type="paragraph" w:styleId="Footer">
    <w:name w:val="footer"/>
    <w:basedOn w:val="Normal"/>
    <w:link w:val="FooterChar"/>
    <w:uiPriority w:val="99"/>
    <w:unhideWhenUsed/>
    <w:rsid w:val="00710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372"/>
  </w:style>
  <w:style w:type="paragraph" w:styleId="ListParagraph">
    <w:name w:val="List Paragraph"/>
    <w:aliases w:val="kepala,List Paragraph1"/>
    <w:basedOn w:val="Normal"/>
    <w:link w:val="ListParagraphChar"/>
    <w:uiPriority w:val="34"/>
    <w:qFormat/>
    <w:rsid w:val="005021C4"/>
    <w:pPr>
      <w:ind w:left="720"/>
      <w:contextualSpacing/>
    </w:pPr>
  </w:style>
  <w:style w:type="table" w:styleId="TableGrid">
    <w:name w:val="Table Grid"/>
    <w:basedOn w:val="TableNormal"/>
    <w:uiPriority w:val="59"/>
    <w:rsid w:val="00B2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25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kepala Char,List Paragraph1 Char"/>
    <w:link w:val="ListParagraph"/>
    <w:uiPriority w:val="34"/>
    <w:locked/>
    <w:rsid w:val="0068336A"/>
  </w:style>
  <w:style w:type="paragraph" w:styleId="BalloonText">
    <w:name w:val="Balloon Text"/>
    <w:basedOn w:val="Normal"/>
    <w:link w:val="BalloonTextChar"/>
    <w:uiPriority w:val="99"/>
    <w:semiHidden/>
    <w:unhideWhenUsed/>
    <w:rsid w:val="0094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1E"/>
    <w:rPr>
      <w:rFonts w:ascii="Tahoma" w:hAnsi="Tahoma" w:cs="Tahoma"/>
      <w:sz w:val="16"/>
      <w:szCs w:val="16"/>
    </w:rPr>
  </w:style>
  <w:style w:type="character" w:styleId="Hyperlink">
    <w:name w:val="Hyperlink"/>
    <w:basedOn w:val="DefaultParagraphFont"/>
    <w:uiPriority w:val="99"/>
    <w:unhideWhenUsed/>
    <w:rsid w:val="00484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4390">
      <w:bodyDiv w:val="1"/>
      <w:marLeft w:val="0"/>
      <w:marRight w:val="0"/>
      <w:marTop w:val="0"/>
      <w:marBottom w:val="0"/>
      <w:divBdr>
        <w:top w:val="none" w:sz="0" w:space="0" w:color="auto"/>
        <w:left w:val="none" w:sz="0" w:space="0" w:color="auto"/>
        <w:bottom w:val="none" w:sz="0" w:space="0" w:color="auto"/>
        <w:right w:val="none" w:sz="0" w:space="0" w:color="auto"/>
      </w:divBdr>
    </w:div>
    <w:div w:id="357854386">
      <w:bodyDiv w:val="1"/>
      <w:marLeft w:val="0"/>
      <w:marRight w:val="0"/>
      <w:marTop w:val="0"/>
      <w:marBottom w:val="0"/>
      <w:divBdr>
        <w:top w:val="none" w:sz="0" w:space="0" w:color="auto"/>
        <w:left w:val="none" w:sz="0" w:space="0" w:color="auto"/>
        <w:bottom w:val="none" w:sz="0" w:space="0" w:color="auto"/>
        <w:right w:val="none" w:sz="0" w:space="0" w:color="auto"/>
      </w:divBdr>
    </w:div>
    <w:div w:id="495075215">
      <w:bodyDiv w:val="1"/>
      <w:marLeft w:val="0"/>
      <w:marRight w:val="0"/>
      <w:marTop w:val="0"/>
      <w:marBottom w:val="0"/>
      <w:divBdr>
        <w:top w:val="none" w:sz="0" w:space="0" w:color="auto"/>
        <w:left w:val="none" w:sz="0" w:space="0" w:color="auto"/>
        <w:bottom w:val="none" w:sz="0" w:space="0" w:color="auto"/>
        <w:right w:val="none" w:sz="0" w:space="0" w:color="auto"/>
      </w:divBdr>
    </w:div>
    <w:div w:id="769395874">
      <w:bodyDiv w:val="1"/>
      <w:marLeft w:val="0"/>
      <w:marRight w:val="0"/>
      <w:marTop w:val="0"/>
      <w:marBottom w:val="0"/>
      <w:divBdr>
        <w:top w:val="none" w:sz="0" w:space="0" w:color="auto"/>
        <w:left w:val="none" w:sz="0" w:space="0" w:color="auto"/>
        <w:bottom w:val="none" w:sz="0" w:space="0" w:color="auto"/>
        <w:right w:val="none" w:sz="0" w:space="0" w:color="auto"/>
      </w:divBdr>
      <w:divsChild>
        <w:div w:id="1297296276">
          <w:marLeft w:val="0"/>
          <w:marRight w:val="0"/>
          <w:marTop w:val="0"/>
          <w:marBottom w:val="0"/>
          <w:divBdr>
            <w:top w:val="single" w:sz="2" w:space="0" w:color="E5E7EB"/>
            <w:left w:val="single" w:sz="2" w:space="0" w:color="E5E7EB"/>
            <w:bottom w:val="single" w:sz="2" w:space="0" w:color="E5E7EB"/>
            <w:right w:val="single" w:sz="2" w:space="0" w:color="E5E7EB"/>
          </w:divBdr>
        </w:div>
        <w:div w:id="1446340470">
          <w:marLeft w:val="0"/>
          <w:marRight w:val="0"/>
          <w:marTop w:val="0"/>
          <w:marBottom w:val="0"/>
          <w:divBdr>
            <w:top w:val="single" w:sz="2" w:space="0" w:color="E5E7EB"/>
            <w:left w:val="single" w:sz="2" w:space="0" w:color="E5E7EB"/>
            <w:bottom w:val="single" w:sz="2" w:space="0" w:color="E5E7EB"/>
            <w:right w:val="single" w:sz="2" w:space="0" w:color="E5E7EB"/>
          </w:divBdr>
        </w:div>
        <w:div w:id="1561482612">
          <w:marLeft w:val="0"/>
          <w:marRight w:val="0"/>
          <w:marTop w:val="0"/>
          <w:marBottom w:val="0"/>
          <w:divBdr>
            <w:top w:val="single" w:sz="2" w:space="0" w:color="E5E7EB"/>
            <w:left w:val="single" w:sz="2" w:space="0" w:color="E5E7EB"/>
            <w:bottom w:val="single" w:sz="2" w:space="0" w:color="E5E7EB"/>
            <w:right w:val="single" w:sz="2" w:space="0" w:color="E5E7EB"/>
          </w:divBdr>
        </w:div>
        <w:div w:id="1671903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3167103">
      <w:bodyDiv w:val="1"/>
      <w:marLeft w:val="0"/>
      <w:marRight w:val="0"/>
      <w:marTop w:val="0"/>
      <w:marBottom w:val="0"/>
      <w:divBdr>
        <w:top w:val="none" w:sz="0" w:space="0" w:color="auto"/>
        <w:left w:val="none" w:sz="0" w:space="0" w:color="auto"/>
        <w:bottom w:val="none" w:sz="0" w:space="0" w:color="auto"/>
        <w:right w:val="none" w:sz="0" w:space="0" w:color="auto"/>
      </w:divBdr>
    </w:div>
    <w:div w:id="1718969537">
      <w:bodyDiv w:val="1"/>
      <w:marLeft w:val="0"/>
      <w:marRight w:val="0"/>
      <w:marTop w:val="0"/>
      <w:marBottom w:val="0"/>
      <w:divBdr>
        <w:top w:val="none" w:sz="0" w:space="0" w:color="auto"/>
        <w:left w:val="none" w:sz="0" w:space="0" w:color="auto"/>
        <w:bottom w:val="none" w:sz="0" w:space="0" w:color="auto"/>
        <w:right w:val="none" w:sz="0" w:space="0" w:color="auto"/>
      </w:divBdr>
    </w:div>
    <w:div w:id="19321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ocuments\Growth(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user\Documents\Growth(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user\Documents\Growth(AutoRecover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Kemiskinan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'Miskin Palembang'!$A$3</c:f>
              <c:strCache>
                <c:ptCount val="1"/>
                <c:pt idx="0">
                  <c:v>SUMSEL</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'Miskin Palembang'!$B$1:$G$1</c:f>
              <c:numCache>
                <c:formatCode>General</c:formatCode>
                <c:ptCount val="6"/>
                <c:pt idx="0">
                  <c:v>2017</c:v>
                </c:pt>
                <c:pt idx="1">
                  <c:v>2018</c:v>
                </c:pt>
                <c:pt idx="2">
                  <c:v>2019</c:v>
                </c:pt>
                <c:pt idx="3">
                  <c:v>2020</c:v>
                </c:pt>
                <c:pt idx="4">
                  <c:v>2021</c:v>
                </c:pt>
                <c:pt idx="5">
                  <c:v>2022</c:v>
                </c:pt>
              </c:numCache>
            </c:numRef>
          </c:cat>
          <c:val>
            <c:numRef>
              <c:f>'Miskin Palembang'!$B$3:$G$3</c:f>
              <c:numCache>
                <c:formatCode>General</c:formatCode>
                <c:ptCount val="6"/>
                <c:pt idx="0" formatCode="0.00">
                  <c:v>13.1</c:v>
                </c:pt>
                <c:pt idx="1">
                  <c:v>12.8</c:v>
                </c:pt>
                <c:pt idx="2">
                  <c:v>12.71</c:v>
                </c:pt>
                <c:pt idx="3">
                  <c:v>12.66</c:v>
                </c:pt>
                <c:pt idx="4">
                  <c:v>12.84</c:v>
                </c:pt>
                <c:pt idx="5" formatCode="0.00">
                  <c:v>11.9</c:v>
                </c:pt>
              </c:numCache>
            </c:numRef>
          </c:val>
          <c:smooth val="0"/>
          <c:extLst>
            <c:ext xmlns:c16="http://schemas.microsoft.com/office/drawing/2014/chart" uri="{C3380CC4-5D6E-409C-BE32-E72D297353CC}">
              <c16:uniqueId val="{00000000-C535-4E52-AC06-90AB0F9FC84A}"/>
            </c:ext>
          </c:extLst>
        </c:ser>
        <c:ser>
          <c:idx val="1"/>
          <c:order val="1"/>
          <c:tx>
            <c:strRef>
              <c:f>'Miskin Palembang'!$A$4</c:f>
              <c:strCache>
                <c:ptCount val="1"/>
                <c:pt idx="0">
                  <c:v>PALI</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'Miskin Palembang'!$B$1:$G$1</c:f>
              <c:numCache>
                <c:formatCode>General</c:formatCode>
                <c:ptCount val="6"/>
                <c:pt idx="0">
                  <c:v>2017</c:v>
                </c:pt>
                <c:pt idx="1">
                  <c:v>2018</c:v>
                </c:pt>
                <c:pt idx="2">
                  <c:v>2019</c:v>
                </c:pt>
                <c:pt idx="3">
                  <c:v>2020</c:v>
                </c:pt>
                <c:pt idx="4">
                  <c:v>2021</c:v>
                </c:pt>
                <c:pt idx="5">
                  <c:v>2022</c:v>
                </c:pt>
              </c:numCache>
            </c:numRef>
          </c:cat>
          <c:val>
            <c:numRef>
              <c:f>'Miskin Palembang'!$B$4:$G$4</c:f>
              <c:numCache>
                <c:formatCode>General</c:formatCode>
                <c:ptCount val="6"/>
                <c:pt idx="0">
                  <c:v>14.88</c:v>
                </c:pt>
                <c:pt idx="1">
                  <c:v>13.81</c:v>
                </c:pt>
                <c:pt idx="2">
                  <c:v>13.47</c:v>
                </c:pt>
                <c:pt idx="3">
                  <c:v>12.62</c:v>
                </c:pt>
                <c:pt idx="4">
                  <c:v>12.91</c:v>
                </c:pt>
                <c:pt idx="5">
                  <c:v>11.76</c:v>
                </c:pt>
              </c:numCache>
            </c:numRef>
          </c:val>
          <c:smooth val="0"/>
          <c:extLst>
            <c:ext xmlns:c16="http://schemas.microsoft.com/office/drawing/2014/chart" uri="{C3380CC4-5D6E-409C-BE32-E72D297353CC}">
              <c16:uniqueId val="{00000001-C535-4E52-AC06-90AB0F9FC84A}"/>
            </c:ext>
          </c:extLst>
        </c:ser>
        <c:dLbls>
          <c:dLblPos val="ctr"/>
          <c:showLegendKey val="0"/>
          <c:showVal val="1"/>
          <c:showCatName val="0"/>
          <c:showSerName val="0"/>
          <c:showPercent val="0"/>
          <c:showBubbleSize val="0"/>
        </c:dLbls>
        <c:smooth val="0"/>
        <c:axId val="826233231"/>
        <c:axId val="826219183"/>
      </c:lineChart>
      <c:catAx>
        <c:axId val="82623323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219183"/>
        <c:crosses val="autoZero"/>
        <c:auto val="1"/>
        <c:lblAlgn val="ctr"/>
        <c:lblOffset val="100"/>
        <c:noMultiLvlLbl val="0"/>
      </c:catAx>
      <c:valAx>
        <c:axId val="826219183"/>
        <c:scaling>
          <c:orientation val="minMax"/>
          <c:min val="1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233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aseline="0"/>
              <a:t>Indeks Pembangunan Manusia </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'IPM PALI'!$A$3</c:f>
              <c:strCache>
                <c:ptCount val="1"/>
                <c:pt idx="0">
                  <c:v>PALI</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'IPM PALI'!$B$1:$G$1</c:f>
              <c:numCache>
                <c:formatCode>General</c:formatCode>
                <c:ptCount val="6"/>
                <c:pt idx="0">
                  <c:v>2017</c:v>
                </c:pt>
                <c:pt idx="1">
                  <c:v>2018</c:v>
                </c:pt>
                <c:pt idx="2">
                  <c:v>2019</c:v>
                </c:pt>
                <c:pt idx="3">
                  <c:v>2020</c:v>
                </c:pt>
                <c:pt idx="4">
                  <c:v>2021</c:v>
                </c:pt>
                <c:pt idx="5">
                  <c:v>2022</c:v>
                </c:pt>
              </c:numCache>
            </c:numRef>
          </c:cat>
          <c:val>
            <c:numRef>
              <c:f>'IPM PALI'!$B$3:$G$3</c:f>
              <c:numCache>
                <c:formatCode>General</c:formatCode>
                <c:ptCount val="6"/>
                <c:pt idx="0">
                  <c:v>62.58</c:v>
                </c:pt>
                <c:pt idx="1">
                  <c:v>63.49</c:v>
                </c:pt>
                <c:pt idx="2">
                  <c:v>64.33</c:v>
                </c:pt>
                <c:pt idx="3">
                  <c:v>64.7</c:v>
                </c:pt>
                <c:pt idx="4">
                  <c:v>64.88</c:v>
                </c:pt>
                <c:pt idx="5">
                  <c:v>65.75</c:v>
                </c:pt>
              </c:numCache>
            </c:numRef>
          </c:val>
          <c:smooth val="0"/>
          <c:extLst>
            <c:ext xmlns:c16="http://schemas.microsoft.com/office/drawing/2014/chart" uri="{C3380CC4-5D6E-409C-BE32-E72D297353CC}">
              <c16:uniqueId val="{00000000-3C18-41A0-B3A1-A750DB31628D}"/>
            </c:ext>
          </c:extLst>
        </c:ser>
        <c:ser>
          <c:idx val="1"/>
          <c:order val="1"/>
          <c:tx>
            <c:strRef>
              <c:f>'IPM PALI'!$A$4</c:f>
              <c:strCache>
                <c:ptCount val="1"/>
                <c:pt idx="0">
                  <c:v>SUMSEL</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'IPM PALI'!$B$1:$G$1</c:f>
              <c:numCache>
                <c:formatCode>General</c:formatCode>
                <c:ptCount val="6"/>
                <c:pt idx="0">
                  <c:v>2017</c:v>
                </c:pt>
                <c:pt idx="1">
                  <c:v>2018</c:v>
                </c:pt>
                <c:pt idx="2">
                  <c:v>2019</c:v>
                </c:pt>
                <c:pt idx="3">
                  <c:v>2020</c:v>
                </c:pt>
                <c:pt idx="4">
                  <c:v>2021</c:v>
                </c:pt>
                <c:pt idx="5">
                  <c:v>2022</c:v>
                </c:pt>
              </c:numCache>
            </c:numRef>
          </c:cat>
          <c:val>
            <c:numRef>
              <c:f>'IPM PALI'!$B$4:$G$4</c:f>
              <c:numCache>
                <c:formatCode>General</c:formatCode>
                <c:ptCount val="6"/>
                <c:pt idx="0">
                  <c:v>68.86</c:v>
                </c:pt>
                <c:pt idx="1">
                  <c:v>69.39</c:v>
                </c:pt>
                <c:pt idx="2">
                  <c:v>70.02</c:v>
                </c:pt>
                <c:pt idx="3">
                  <c:v>70.010000000000005</c:v>
                </c:pt>
                <c:pt idx="4">
                  <c:v>70.239999999999995</c:v>
                </c:pt>
                <c:pt idx="5" formatCode="0.00">
                  <c:v>70.900000000000006</c:v>
                </c:pt>
              </c:numCache>
            </c:numRef>
          </c:val>
          <c:smooth val="0"/>
          <c:extLst>
            <c:ext xmlns:c16="http://schemas.microsoft.com/office/drawing/2014/chart" uri="{C3380CC4-5D6E-409C-BE32-E72D297353CC}">
              <c16:uniqueId val="{00000001-3C18-41A0-B3A1-A750DB31628D}"/>
            </c:ext>
          </c:extLst>
        </c:ser>
        <c:dLbls>
          <c:dLblPos val="b"/>
          <c:showLegendKey val="0"/>
          <c:showVal val="1"/>
          <c:showCatName val="0"/>
          <c:showSerName val="0"/>
          <c:showPercent val="0"/>
          <c:showBubbleSize val="0"/>
        </c:dLbls>
        <c:smooth val="0"/>
        <c:axId val="792776639"/>
        <c:axId val="749214303"/>
      </c:lineChart>
      <c:catAx>
        <c:axId val="79277663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214303"/>
        <c:crosses val="autoZero"/>
        <c:auto val="1"/>
        <c:lblAlgn val="ctr"/>
        <c:lblOffset val="100"/>
        <c:noMultiLvlLbl val="0"/>
      </c:catAx>
      <c:valAx>
        <c:axId val="74921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776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a:t>Rp/orang/hari</a:t>
            </a:r>
          </a:p>
        </c:rich>
      </c:tx>
      <c:layout>
        <c:manualLayout>
          <c:xMode val="edge"/>
          <c:yMode val="edge"/>
          <c:x val="0.77177140056686566"/>
          <c:y val="0.88900177800355595"/>
        </c:manualLayout>
      </c:layout>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405856949005255E-2"/>
          <c:y val="9.4714189428378837E-2"/>
          <c:w val="0.79249934128427768"/>
          <c:h val="0.78334036668073337"/>
        </c:manualLayout>
      </c:layout>
      <c:bar3DChart>
        <c:barDir val="col"/>
        <c:grouping val="standard"/>
        <c:varyColors val="0"/>
        <c:ser>
          <c:idx val="1"/>
          <c:order val="0"/>
          <c:tx>
            <c:strRef>
              <c:f>CPPali!$A$3</c:f>
              <c:strCache>
                <c:ptCount val="1"/>
                <c:pt idx="0">
                  <c:v>PALI</c:v>
                </c:pt>
              </c:strCache>
            </c:strRef>
          </c:tx>
          <c:spPr>
            <a:solidFill>
              <a:schemeClr val="accent2"/>
            </a:solidFill>
            <a:ln>
              <a:noFill/>
            </a:ln>
            <a:effectLst/>
            <a:sp3d/>
          </c:spPr>
          <c:invertIfNegative val="0"/>
          <c:dLbls>
            <c:dLbl>
              <c:idx val="0"/>
              <c:layout>
                <c:manualLayout>
                  <c:x val="4.1849393916976408E-3"/>
                  <c:y val="7.1691919334470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58-4345-A706-E7BFB605F6F5}"/>
                </c:ext>
              </c:extLst>
            </c:dLbl>
            <c:dLbl>
              <c:idx val="1"/>
              <c:layout>
                <c:manualLayout>
                  <c:x val="6.2774090875464608E-3"/>
                  <c:y val="6.7474747608913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58-4345-A706-E7BFB605F6F5}"/>
                </c:ext>
              </c:extLst>
            </c:dLbl>
            <c:dLbl>
              <c:idx val="2"/>
              <c:layout>
                <c:manualLayout>
                  <c:x val="4.1849393916976408E-3"/>
                  <c:y val="7.1691919334470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58-4345-A706-E7BFB605F6F5}"/>
                </c:ext>
              </c:extLst>
            </c:dLbl>
            <c:dLbl>
              <c:idx val="3"/>
              <c:layout>
                <c:manualLayout>
                  <c:x val="8.3698787833952036E-3"/>
                  <c:y val="5.9040404157799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58-4345-A706-E7BFB605F6F5}"/>
                </c:ext>
              </c:extLst>
            </c:dLbl>
            <c:dLbl>
              <c:idx val="4"/>
              <c:layout>
                <c:manualLayout>
                  <c:x val="4.1849393916976408E-3"/>
                  <c:y val="7.59090910600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58-4345-A706-E7BFB605F6F5}"/>
                </c:ext>
              </c:extLst>
            </c:dLbl>
            <c:dLbl>
              <c:idx val="5"/>
              <c:layout>
                <c:manualLayout>
                  <c:x val="6.2774090875464608E-3"/>
                  <c:y val="6.7474747608913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58-4345-A706-E7BFB605F6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CPPali!$B$1:$G$1</c:f>
              <c:numCache>
                <c:formatCode>General</c:formatCode>
                <c:ptCount val="6"/>
                <c:pt idx="0">
                  <c:v>2016</c:v>
                </c:pt>
                <c:pt idx="1">
                  <c:v>2017</c:v>
                </c:pt>
                <c:pt idx="2">
                  <c:v>2018</c:v>
                </c:pt>
                <c:pt idx="3">
                  <c:v>2019</c:v>
                </c:pt>
                <c:pt idx="4">
                  <c:v>2020</c:v>
                </c:pt>
                <c:pt idx="5">
                  <c:v>2022</c:v>
                </c:pt>
              </c:numCache>
            </c:numRef>
          </c:cat>
          <c:val>
            <c:numRef>
              <c:f>CPPali!$B$3:$G$3</c:f>
              <c:numCache>
                <c:formatCode>0.000</c:formatCode>
                <c:ptCount val="6"/>
                <c:pt idx="0">
                  <c:v>20.51</c:v>
                </c:pt>
                <c:pt idx="1">
                  <c:v>19.7</c:v>
                </c:pt>
                <c:pt idx="2">
                  <c:v>21.01</c:v>
                </c:pt>
                <c:pt idx="3">
                  <c:v>20.28</c:v>
                </c:pt>
                <c:pt idx="4">
                  <c:v>22.55</c:v>
                </c:pt>
                <c:pt idx="5">
                  <c:v>22.34</c:v>
                </c:pt>
              </c:numCache>
            </c:numRef>
          </c:val>
          <c:extLst>
            <c:ext xmlns:c16="http://schemas.microsoft.com/office/drawing/2014/chart" uri="{C3380CC4-5D6E-409C-BE32-E72D297353CC}">
              <c16:uniqueId val="{00000006-5758-4345-A706-E7BFB605F6F5}"/>
            </c:ext>
          </c:extLst>
        </c:ser>
        <c:ser>
          <c:idx val="2"/>
          <c:order val="1"/>
          <c:tx>
            <c:strRef>
              <c:f>CPPali!$A$2</c:f>
              <c:strCache>
                <c:ptCount val="1"/>
                <c:pt idx="0">
                  <c:v>SUMSEL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CPPali!$B$1:$G$1</c:f>
              <c:numCache>
                <c:formatCode>General</c:formatCode>
                <c:ptCount val="6"/>
                <c:pt idx="0">
                  <c:v>2016</c:v>
                </c:pt>
                <c:pt idx="1">
                  <c:v>2017</c:v>
                </c:pt>
                <c:pt idx="2">
                  <c:v>2018</c:v>
                </c:pt>
                <c:pt idx="3">
                  <c:v>2019</c:v>
                </c:pt>
                <c:pt idx="4">
                  <c:v>2020</c:v>
                </c:pt>
                <c:pt idx="5">
                  <c:v>2022</c:v>
                </c:pt>
              </c:numCache>
            </c:numRef>
          </c:cat>
          <c:val>
            <c:numRef>
              <c:f>CPPali!$B$2:$G$2</c:f>
              <c:numCache>
                <c:formatCode>0.000</c:formatCode>
                <c:ptCount val="6"/>
                <c:pt idx="0">
                  <c:v>18.86</c:v>
                </c:pt>
                <c:pt idx="1">
                  <c:v>18.29</c:v>
                </c:pt>
                <c:pt idx="2">
                  <c:v>18.72</c:v>
                </c:pt>
                <c:pt idx="3">
                  <c:v>19.739999999999998</c:v>
                </c:pt>
                <c:pt idx="4">
                  <c:v>19.61</c:v>
                </c:pt>
                <c:pt idx="5">
                  <c:v>19.8</c:v>
                </c:pt>
              </c:numCache>
            </c:numRef>
          </c:val>
          <c:extLst>
            <c:ext xmlns:c16="http://schemas.microsoft.com/office/drawing/2014/chart" uri="{C3380CC4-5D6E-409C-BE32-E72D297353CC}">
              <c16:uniqueId val="{00000007-5758-4345-A706-E7BFB605F6F5}"/>
            </c:ext>
          </c:extLst>
        </c:ser>
        <c:dLbls>
          <c:showLegendKey val="0"/>
          <c:showVal val="1"/>
          <c:showCatName val="0"/>
          <c:showSerName val="0"/>
          <c:showPercent val="0"/>
          <c:showBubbleSize val="0"/>
        </c:dLbls>
        <c:gapWidth val="150"/>
        <c:shape val="box"/>
        <c:axId val="714170927"/>
        <c:axId val="738114047"/>
        <c:axId val="698589647"/>
      </c:bar3DChart>
      <c:catAx>
        <c:axId val="7141709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38114047"/>
        <c:crosses val="autoZero"/>
        <c:auto val="1"/>
        <c:lblAlgn val="ctr"/>
        <c:lblOffset val="100"/>
        <c:noMultiLvlLbl val="0"/>
      </c:catAx>
      <c:valAx>
        <c:axId val="73811404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170927"/>
        <c:crosses val="autoZero"/>
        <c:crossBetween val="between"/>
      </c:valAx>
      <c:serAx>
        <c:axId val="698589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114047"/>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D49F-2CA5-4E12-9655-0B3DE6D6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20</Pages>
  <Words>13359</Words>
  <Characters>76147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41</cp:revision>
  <dcterms:created xsi:type="dcterms:W3CDTF">2021-07-23T17:00:00Z</dcterms:created>
  <dcterms:modified xsi:type="dcterms:W3CDTF">2023-06-22T13:14:00Z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cc2574c4-04b3-336e-bee3-e67738caf07c</vt:lpwstr>
  </property>
  <property fmtid="{D5CDD505-2E9C-101B-9397-08002B2CF9AE}" pid="24" name="Mendeley Citation Style_1">
    <vt:lpwstr>http://www.zotero.org/styles/apa</vt:lpwstr>
  </property>
</Properties>
</file>